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6DA9" w14:textId="3EF0E504" w:rsidR="00DD74FE" w:rsidRPr="00412994" w:rsidRDefault="00CE52B8" w:rsidP="00C219AF">
      <w:pPr>
        <w:pBdr>
          <w:bottom w:val="single" w:sz="12" w:space="1" w:color="auto"/>
        </w:pBdr>
        <w:spacing w:after="0" w:line="240" w:lineRule="auto"/>
        <w:jc w:val="both"/>
        <w:rPr>
          <w:rFonts w:cs="Arial"/>
          <w:b/>
          <w:bCs/>
          <w:sz w:val="52"/>
        </w:rPr>
      </w:pPr>
      <w:bookmarkStart w:id="0" w:name="_Hlk180485407"/>
      <w:bookmarkEnd w:id="0"/>
      <w:r w:rsidRPr="00412994">
        <w:rPr>
          <w:rFonts w:cs="Arial"/>
          <w:b/>
          <w:bCs/>
          <w:sz w:val="52"/>
        </w:rPr>
        <w:t>Duty to Prevent Sexual Harassment</w:t>
      </w:r>
    </w:p>
    <w:p w14:paraId="0B90B527" w14:textId="0BE40ECF" w:rsidR="00DD74FE" w:rsidRPr="00412994" w:rsidRDefault="00CE52B8" w:rsidP="00C219AF">
      <w:pPr>
        <w:pBdr>
          <w:bottom w:val="single" w:sz="12" w:space="1" w:color="auto"/>
        </w:pBdr>
        <w:spacing w:after="0" w:line="240" w:lineRule="auto"/>
        <w:jc w:val="both"/>
        <w:rPr>
          <w:rFonts w:cs="Arial"/>
          <w:b/>
          <w:bCs/>
          <w:color w:val="00C0B5"/>
          <w:sz w:val="44"/>
        </w:rPr>
      </w:pPr>
      <w:r w:rsidRPr="00412994">
        <w:rPr>
          <w:rFonts w:cs="Arial"/>
          <w:b/>
          <w:bCs/>
          <w:color w:val="00C0B5"/>
          <w:sz w:val="44"/>
        </w:rPr>
        <w:t>Hand</w:t>
      </w:r>
      <w:r w:rsidR="00332438" w:rsidRPr="00412994">
        <w:rPr>
          <w:rFonts w:cs="Arial"/>
          <w:b/>
          <w:bCs/>
          <w:color w:val="00C0B5"/>
          <w:sz w:val="44"/>
        </w:rPr>
        <w:t>book</w:t>
      </w:r>
      <w:r w:rsidR="00A91371" w:rsidRPr="00412994">
        <w:rPr>
          <w:rFonts w:cs="Arial"/>
          <w:b/>
          <w:bCs/>
          <w:color w:val="00C0B5"/>
          <w:sz w:val="44"/>
        </w:rPr>
        <w:t xml:space="preserve"> 2024</w:t>
      </w:r>
    </w:p>
    <w:p w14:paraId="49825AF4" w14:textId="4528FAD2" w:rsidR="00DD74FE" w:rsidRPr="00412994" w:rsidRDefault="00DD74FE" w:rsidP="00C219AF">
      <w:pPr>
        <w:spacing w:after="0" w:line="240" w:lineRule="auto"/>
        <w:jc w:val="both"/>
        <w:rPr>
          <w:rFonts w:cs="Arial"/>
          <w:b/>
          <w:bCs/>
          <w:sz w:val="32"/>
        </w:rPr>
      </w:pPr>
      <w:r w:rsidRPr="00412994">
        <w:rPr>
          <w:rFonts w:cs="Arial"/>
          <w:b/>
          <w:bCs/>
          <w:sz w:val="32"/>
        </w:rPr>
        <w:t>Southwark Schools</w:t>
      </w:r>
      <w:r w:rsidR="00CE52B8" w:rsidRPr="00412994">
        <w:rPr>
          <w:rFonts w:cs="Arial"/>
          <w:b/>
          <w:bCs/>
          <w:sz w:val="32"/>
        </w:rPr>
        <w:t>’</w:t>
      </w:r>
      <w:r w:rsidRPr="00412994">
        <w:rPr>
          <w:rFonts w:cs="Arial"/>
          <w:b/>
          <w:bCs/>
          <w:sz w:val="32"/>
        </w:rPr>
        <w:t xml:space="preserve"> HR</w:t>
      </w:r>
    </w:p>
    <w:p w14:paraId="28E82EEA" w14:textId="77777777" w:rsidR="00DD74FE" w:rsidRPr="00412994" w:rsidRDefault="00DD74FE" w:rsidP="00C219AF">
      <w:pPr>
        <w:spacing w:after="0" w:line="240" w:lineRule="auto"/>
        <w:jc w:val="both"/>
        <w:rPr>
          <w:rFonts w:cs="Arial"/>
          <w:b/>
          <w:bCs/>
          <w:sz w:val="32"/>
        </w:rPr>
      </w:pPr>
    </w:p>
    <w:p w14:paraId="6E5C8C8A" w14:textId="77777777" w:rsidR="00DD74FE" w:rsidRPr="00412994" w:rsidRDefault="00DD74FE" w:rsidP="00C219AF">
      <w:pPr>
        <w:spacing w:after="0" w:line="240" w:lineRule="auto"/>
        <w:jc w:val="both"/>
        <w:rPr>
          <w:rFonts w:cs="Arial"/>
          <w:b/>
          <w:bCs/>
          <w:sz w:val="32"/>
        </w:rPr>
      </w:pPr>
    </w:p>
    <w:p w14:paraId="6F88798C" w14:textId="77777777" w:rsidR="00DD74FE" w:rsidRPr="00412994" w:rsidRDefault="00DD74FE" w:rsidP="00C219AF">
      <w:pPr>
        <w:spacing w:after="0" w:line="240" w:lineRule="auto"/>
        <w:jc w:val="both"/>
        <w:rPr>
          <w:rFonts w:cs="Arial"/>
          <w:b/>
          <w:bCs/>
          <w:sz w:val="32"/>
        </w:rPr>
      </w:pPr>
    </w:p>
    <w:p w14:paraId="61ABF3F5" w14:textId="77777777" w:rsidR="00DD74FE" w:rsidRPr="00412994" w:rsidRDefault="00DD74FE" w:rsidP="00C219AF">
      <w:pPr>
        <w:spacing w:after="0" w:line="240" w:lineRule="auto"/>
        <w:jc w:val="both"/>
        <w:rPr>
          <w:rFonts w:cs="Arial"/>
          <w:b/>
          <w:bCs/>
          <w:sz w:val="32"/>
        </w:rPr>
      </w:pPr>
    </w:p>
    <w:p w14:paraId="1CBAE0D6" w14:textId="77777777" w:rsidR="00DD74FE" w:rsidRPr="00412994" w:rsidRDefault="00DD74FE" w:rsidP="00C219AF">
      <w:pPr>
        <w:spacing w:after="0" w:line="240" w:lineRule="auto"/>
        <w:jc w:val="both"/>
        <w:rPr>
          <w:rFonts w:cs="Arial"/>
          <w:b/>
          <w:bCs/>
          <w:sz w:val="32"/>
        </w:rPr>
      </w:pPr>
    </w:p>
    <w:p w14:paraId="48503B9F" w14:textId="77777777" w:rsidR="00DD74FE" w:rsidRPr="00412994" w:rsidRDefault="00DD74FE" w:rsidP="00C219AF">
      <w:pPr>
        <w:spacing w:after="0" w:line="240" w:lineRule="auto"/>
        <w:jc w:val="both"/>
        <w:rPr>
          <w:rFonts w:cs="Arial"/>
          <w:b/>
          <w:bCs/>
          <w:sz w:val="32"/>
        </w:rPr>
      </w:pPr>
    </w:p>
    <w:p w14:paraId="490C2059" w14:textId="77777777" w:rsidR="00DD74FE" w:rsidRPr="00412994" w:rsidRDefault="00DD74FE" w:rsidP="00C219AF">
      <w:pPr>
        <w:spacing w:after="0" w:line="240" w:lineRule="auto"/>
        <w:jc w:val="both"/>
        <w:rPr>
          <w:rFonts w:cs="Arial"/>
          <w:b/>
          <w:bCs/>
          <w:sz w:val="32"/>
        </w:rPr>
      </w:pPr>
    </w:p>
    <w:p w14:paraId="7141CB26" w14:textId="77777777" w:rsidR="00DD74FE" w:rsidRPr="00412994" w:rsidRDefault="00DD74FE" w:rsidP="00C219AF">
      <w:pPr>
        <w:spacing w:after="0" w:line="240" w:lineRule="auto"/>
        <w:jc w:val="both"/>
        <w:rPr>
          <w:rFonts w:cs="Arial"/>
          <w:b/>
          <w:bCs/>
          <w:sz w:val="32"/>
        </w:rPr>
      </w:pPr>
    </w:p>
    <w:p w14:paraId="041B6253" w14:textId="77777777" w:rsidR="00DD74FE" w:rsidRPr="00412994" w:rsidRDefault="00DD74FE" w:rsidP="00C219AF">
      <w:pPr>
        <w:spacing w:after="0" w:line="240" w:lineRule="auto"/>
        <w:jc w:val="both"/>
        <w:rPr>
          <w:rFonts w:cs="Arial"/>
          <w:b/>
          <w:bCs/>
          <w:sz w:val="32"/>
        </w:rPr>
      </w:pPr>
    </w:p>
    <w:p w14:paraId="2997C4D3" w14:textId="77777777" w:rsidR="00DD74FE" w:rsidRPr="00412994" w:rsidRDefault="00DD74FE" w:rsidP="00C219AF">
      <w:pPr>
        <w:spacing w:after="0" w:line="240" w:lineRule="auto"/>
        <w:jc w:val="both"/>
        <w:rPr>
          <w:rFonts w:cs="Arial"/>
          <w:b/>
          <w:bCs/>
          <w:sz w:val="32"/>
        </w:rPr>
      </w:pPr>
    </w:p>
    <w:p w14:paraId="3E668EBF" w14:textId="77777777" w:rsidR="00DD74FE" w:rsidRDefault="00DD74FE" w:rsidP="00C219AF">
      <w:pPr>
        <w:spacing w:after="0" w:line="240" w:lineRule="auto"/>
        <w:jc w:val="both"/>
        <w:rPr>
          <w:rFonts w:cs="Arial"/>
          <w:b/>
          <w:bCs/>
          <w:sz w:val="32"/>
        </w:rPr>
      </w:pPr>
    </w:p>
    <w:p w14:paraId="09FEC7DF" w14:textId="77777777" w:rsidR="00173D09" w:rsidRDefault="00173D09" w:rsidP="00C219AF">
      <w:pPr>
        <w:spacing w:after="0" w:line="240" w:lineRule="auto"/>
        <w:jc w:val="both"/>
        <w:rPr>
          <w:rFonts w:cs="Arial"/>
          <w:b/>
          <w:bCs/>
          <w:sz w:val="32"/>
        </w:rPr>
      </w:pPr>
    </w:p>
    <w:p w14:paraId="3C94C5BD" w14:textId="77777777" w:rsidR="00173D09" w:rsidRDefault="00173D09" w:rsidP="00C219AF">
      <w:pPr>
        <w:spacing w:after="0" w:line="240" w:lineRule="auto"/>
        <w:jc w:val="both"/>
        <w:rPr>
          <w:rFonts w:cs="Arial"/>
          <w:b/>
          <w:bCs/>
          <w:sz w:val="32"/>
        </w:rPr>
      </w:pPr>
    </w:p>
    <w:p w14:paraId="78AE5438" w14:textId="77777777" w:rsidR="00173D09" w:rsidRDefault="00173D09" w:rsidP="00C219AF">
      <w:pPr>
        <w:spacing w:after="0" w:line="240" w:lineRule="auto"/>
        <w:jc w:val="both"/>
        <w:rPr>
          <w:rFonts w:cs="Arial"/>
          <w:b/>
          <w:bCs/>
          <w:sz w:val="32"/>
        </w:rPr>
      </w:pPr>
    </w:p>
    <w:p w14:paraId="3D41B006" w14:textId="77777777" w:rsidR="00173D09" w:rsidRDefault="00173D09" w:rsidP="00C219AF">
      <w:pPr>
        <w:spacing w:after="0" w:line="240" w:lineRule="auto"/>
        <w:jc w:val="both"/>
        <w:rPr>
          <w:rFonts w:cs="Arial"/>
          <w:b/>
          <w:bCs/>
          <w:sz w:val="32"/>
        </w:rPr>
      </w:pPr>
    </w:p>
    <w:p w14:paraId="60BC253D" w14:textId="77777777" w:rsidR="00173D09" w:rsidRDefault="00173D09" w:rsidP="00C219AF">
      <w:pPr>
        <w:spacing w:after="0" w:line="240" w:lineRule="auto"/>
        <w:jc w:val="both"/>
        <w:rPr>
          <w:rFonts w:cs="Arial"/>
          <w:b/>
          <w:bCs/>
          <w:sz w:val="32"/>
        </w:rPr>
      </w:pPr>
    </w:p>
    <w:p w14:paraId="2C607DD2" w14:textId="77777777" w:rsidR="00173D09" w:rsidRDefault="00173D09" w:rsidP="00C219AF">
      <w:pPr>
        <w:spacing w:after="0" w:line="240" w:lineRule="auto"/>
        <w:jc w:val="both"/>
        <w:rPr>
          <w:rFonts w:cs="Arial"/>
          <w:b/>
          <w:bCs/>
          <w:sz w:val="32"/>
        </w:rPr>
      </w:pPr>
    </w:p>
    <w:p w14:paraId="61550158" w14:textId="77777777" w:rsidR="00173D09" w:rsidRDefault="00173D09" w:rsidP="00C219AF">
      <w:pPr>
        <w:spacing w:after="0" w:line="240" w:lineRule="auto"/>
        <w:jc w:val="both"/>
        <w:rPr>
          <w:rFonts w:cs="Arial"/>
          <w:b/>
          <w:bCs/>
          <w:sz w:val="32"/>
        </w:rPr>
      </w:pPr>
    </w:p>
    <w:p w14:paraId="41DB920C" w14:textId="77777777" w:rsidR="00173D09" w:rsidRDefault="00173D09" w:rsidP="00C219AF">
      <w:pPr>
        <w:spacing w:after="0" w:line="240" w:lineRule="auto"/>
        <w:jc w:val="both"/>
        <w:rPr>
          <w:rFonts w:cs="Arial"/>
          <w:b/>
          <w:bCs/>
          <w:sz w:val="32"/>
        </w:rPr>
      </w:pPr>
    </w:p>
    <w:p w14:paraId="58EA1554" w14:textId="77777777" w:rsidR="00173D09" w:rsidRDefault="00173D09" w:rsidP="00C219AF">
      <w:pPr>
        <w:spacing w:after="0" w:line="240" w:lineRule="auto"/>
        <w:jc w:val="both"/>
        <w:rPr>
          <w:rFonts w:cs="Arial"/>
          <w:b/>
          <w:bCs/>
          <w:sz w:val="32"/>
        </w:rPr>
      </w:pPr>
    </w:p>
    <w:p w14:paraId="0976DCE0" w14:textId="77777777" w:rsidR="00173D09" w:rsidRDefault="00173D09" w:rsidP="00C219AF">
      <w:pPr>
        <w:spacing w:after="0" w:line="240" w:lineRule="auto"/>
        <w:jc w:val="both"/>
        <w:rPr>
          <w:rFonts w:cs="Arial"/>
          <w:b/>
          <w:bCs/>
          <w:sz w:val="32"/>
        </w:rPr>
      </w:pPr>
    </w:p>
    <w:p w14:paraId="2DF7F42B" w14:textId="77777777" w:rsidR="00173D09" w:rsidRDefault="00173D09" w:rsidP="00C219AF">
      <w:pPr>
        <w:spacing w:after="0" w:line="240" w:lineRule="auto"/>
        <w:jc w:val="both"/>
        <w:rPr>
          <w:rFonts w:cs="Arial"/>
          <w:b/>
          <w:bCs/>
          <w:sz w:val="32"/>
        </w:rPr>
      </w:pPr>
    </w:p>
    <w:p w14:paraId="7E0A5695" w14:textId="77777777" w:rsidR="00173D09" w:rsidRPr="00412994" w:rsidRDefault="00173D09" w:rsidP="00C219AF">
      <w:pPr>
        <w:spacing w:after="0" w:line="240" w:lineRule="auto"/>
        <w:jc w:val="both"/>
        <w:rPr>
          <w:rFonts w:cs="Arial"/>
          <w:b/>
          <w:bCs/>
          <w:sz w:val="32"/>
        </w:rPr>
      </w:pPr>
    </w:p>
    <w:p w14:paraId="7F7F02C9" w14:textId="152E408C" w:rsidR="00DD74FE" w:rsidRPr="00412994" w:rsidRDefault="00DD74FE" w:rsidP="00C219AF">
      <w:pPr>
        <w:spacing w:after="0" w:line="240" w:lineRule="auto"/>
        <w:jc w:val="both"/>
        <w:rPr>
          <w:rFonts w:cs="Arial"/>
          <w:b/>
          <w:bCs/>
          <w:sz w:val="32"/>
        </w:rPr>
      </w:pPr>
    </w:p>
    <w:p w14:paraId="469ACB36" w14:textId="775F47C9" w:rsidR="00DD74FE" w:rsidRPr="00412994" w:rsidRDefault="00173D09" w:rsidP="00C219AF">
      <w:pPr>
        <w:spacing w:after="0" w:line="240" w:lineRule="auto"/>
        <w:jc w:val="both"/>
        <w:rPr>
          <w:rFonts w:cs="Arial"/>
          <w:b/>
          <w:bCs/>
          <w:sz w:val="32"/>
        </w:rPr>
      </w:pPr>
      <w:r w:rsidRPr="00412994">
        <w:rPr>
          <w:rFonts w:cs="Arial"/>
          <w:b/>
          <w:bCs/>
          <w:noProof/>
          <w:sz w:val="32"/>
        </w:rPr>
        <w:drawing>
          <wp:anchor distT="0" distB="0" distL="114300" distR="114300" simplePos="0" relativeHeight="251661312" behindDoc="0" locked="0" layoutInCell="1" allowOverlap="1" wp14:anchorId="76B0B69A" wp14:editId="4E54871B">
            <wp:simplePos x="0" y="0"/>
            <wp:positionH relativeFrom="column">
              <wp:posOffset>1321435</wp:posOffset>
            </wp:positionH>
            <wp:positionV relativeFrom="paragraph">
              <wp:posOffset>231140</wp:posOffset>
            </wp:positionV>
            <wp:extent cx="1657350" cy="8509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657350" cy="850900"/>
                    </a:xfrm>
                    <a:prstGeom prst="rect">
                      <a:avLst/>
                    </a:prstGeom>
                  </pic:spPr>
                </pic:pic>
              </a:graphicData>
            </a:graphic>
          </wp:anchor>
        </w:drawing>
      </w:r>
      <w:r w:rsidRPr="00412994">
        <w:rPr>
          <w:rFonts w:cs="Arial"/>
          <w:b/>
          <w:bCs/>
          <w:noProof/>
          <w:sz w:val="32"/>
        </w:rPr>
        <w:drawing>
          <wp:anchor distT="0" distB="0" distL="114300" distR="114300" simplePos="0" relativeHeight="251662336" behindDoc="0" locked="0" layoutInCell="1" allowOverlap="1" wp14:anchorId="1E2A32C4" wp14:editId="2F724883">
            <wp:simplePos x="0" y="0"/>
            <wp:positionH relativeFrom="column">
              <wp:posOffset>3322955</wp:posOffset>
            </wp:positionH>
            <wp:positionV relativeFrom="paragraph">
              <wp:posOffset>80010</wp:posOffset>
            </wp:positionV>
            <wp:extent cx="1211373" cy="1075659"/>
            <wp:effectExtent l="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1211373" cy="1075659"/>
                    </a:xfrm>
                    <a:prstGeom prst="rect">
                      <a:avLst/>
                    </a:prstGeom>
                  </pic:spPr>
                </pic:pic>
              </a:graphicData>
            </a:graphic>
            <wp14:sizeRelH relativeFrom="margin">
              <wp14:pctWidth>0</wp14:pctWidth>
            </wp14:sizeRelH>
            <wp14:sizeRelV relativeFrom="margin">
              <wp14:pctHeight>0</wp14:pctHeight>
            </wp14:sizeRelV>
          </wp:anchor>
        </w:drawing>
      </w:r>
    </w:p>
    <w:p w14:paraId="3B72A990" w14:textId="7480298A" w:rsidR="00DD74FE" w:rsidRPr="00412994" w:rsidRDefault="00DD74FE" w:rsidP="00C219AF">
      <w:pPr>
        <w:spacing w:after="0" w:line="240" w:lineRule="auto"/>
        <w:jc w:val="both"/>
        <w:rPr>
          <w:rFonts w:cs="Arial"/>
          <w:b/>
          <w:bCs/>
          <w:sz w:val="32"/>
        </w:rPr>
      </w:pPr>
    </w:p>
    <w:p w14:paraId="38DFD613" w14:textId="0E057653" w:rsidR="00DD74FE" w:rsidRPr="00412994" w:rsidRDefault="00DD74FE" w:rsidP="00C219AF">
      <w:pPr>
        <w:spacing w:after="0" w:line="240" w:lineRule="auto"/>
        <w:jc w:val="both"/>
        <w:rPr>
          <w:rFonts w:cs="Arial"/>
          <w:b/>
          <w:bCs/>
          <w:sz w:val="32"/>
        </w:rPr>
      </w:pPr>
    </w:p>
    <w:p w14:paraId="7E246BCB" w14:textId="77777777" w:rsidR="00DD74FE" w:rsidRPr="00412994" w:rsidRDefault="00DD74FE" w:rsidP="00C219AF">
      <w:pPr>
        <w:spacing w:after="0" w:line="240" w:lineRule="auto"/>
        <w:jc w:val="both"/>
        <w:rPr>
          <w:rFonts w:cs="Arial"/>
          <w:b/>
          <w:bCs/>
          <w:sz w:val="32"/>
        </w:rPr>
      </w:pPr>
    </w:p>
    <w:p w14:paraId="5648433B" w14:textId="4032AE8E" w:rsidR="00DD74FE" w:rsidRPr="00412994" w:rsidRDefault="00DD74FE" w:rsidP="00C219AF">
      <w:pPr>
        <w:spacing w:after="0" w:line="240" w:lineRule="auto"/>
        <w:jc w:val="both"/>
        <w:rPr>
          <w:rFonts w:cs="Arial"/>
          <w:b/>
          <w:bCs/>
          <w:sz w:val="32"/>
        </w:rPr>
      </w:pPr>
    </w:p>
    <w:p w14:paraId="2D480B45" w14:textId="58965A17" w:rsidR="00DD74FE" w:rsidRPr="00412994" w:rsidRDefault="00CE52B8" w:rsidP="00C219AF">
      <w:pPr>
        <w:spacing w:after="0" w:line="240" w:lineRule="auto"/>
        <w:jc w:val="both"/>
        <w:rPr>
          <w:rFonts w:cs="Arial"/>
          <w:b/>
          <w:bCs/>
          <w:sz w:val="32"/>
        </w:rPr>
      </w:pPr>
      <w:r w:rsidRPr="00412994">
        <w:rPr>
          <w:rFonts w:cs="Arial"/>
          <w:b/>
          <w:bCs/>
          <w:noProof/>
          <w:sz w:val="32"/>
          <w:lang w:eastAsia="en-GB"/>
        </w:rPr>
        <w:drawing>
          <wp:anchor distT="0" distB="0" distL="114300" distR="114300" simplePos="0" relativeHeight="251663360" behindDoc="0" locked="0" layoutInCell="1" allowOverlap="1" wp14:anchorId="1B0B186C" wp14:editId="1D7AA531">
            <wp:simplePos x="0" y="0"/>
            <wp:positionH relativeFrom="column">
              <wp:posOffset>1847850</wp:posOffset>
            </wp:positionH>
            <wp:positionV relativeFrom="paragraph">
              <wp:posOffset>97790</wp:posOffset>
            </wp:positionV>
            <wp:extent cx="1892105" cy="835654"/>
            <wp:effectExtent l="0" t="0" r="0" b="3175"/>
            <wp:wrapNone/>
            <wp:docPr id="17" name="Picture 17" descr="C:\Users\fbrown1\AppData\Local\Microsoft\Windows\INetCache\Content.Word\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brown1\AppData\Local\Microsoft\Windows\INetCache\Content.Word\Southwark logo 201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2105" cy="835654"/>
                    </a:xfrm>
                    <a:prstGeom prst="rect">
                      <a:avLst/>
                    </a:prstGeom>
                    <a:noFill/>
                    <a:ln>
                      <a:noFill/>
                    </a:ln>
                  </pic:spPr>
                </pic:pic>
              </a:graphicData>
            </a:graphic>
          </wp:anchor>
        </w:drawing>
      </w:r>
    </w:p>
    <w:p w14:paraId="1FEB109F" w14:textId="77777777" w:rsidR="00CE52B8" w:rsidRPr="00412994" w:rsidRDefault="00CE52B8" w:rsidP="00C219AF">
      <w:pPr>
        <w:spacing w:after="0" w:line="240" w:lineRule="auto"/>
        <w:jc w:val="both"/>
        <w:rPr>
          <w:rFonts w:cs="Arial"/>
          <w:b/>
          <w:bCs/>
          <w:sz w:val="32"/>
        </w:rPr>
      </w:pPr>
    </w:p>
    <w:p w14:paraId="0B4770CB" w14:textId="77777777" w:rsidR="00CE52B8" w:rsidRPr="00412994" w:rsidRDefault="00CE52B8" w:rsidP="00C219AF">
      <w:pPr>
        <w:spacing w:after="0" w:line="240" w:lineRule="auto"/>
        <w:jc w:val="both"/>
        <w:rPr>
          <w:rFonts w:cs="Arial"/>
          <w:b/>
          <w:bCs/>
          <w:sz w:val="32"/>
        </w:rPr>
      </w:pPr>
    </w:p>
    <w:sdt>
      <w:sdtPr>
        <w:rPr>
          <w:rFonts w:ascii="Arial" w:eastAsiaTheme="minorHAnsi" w:hAnsi="Arial" w:cs="Arial"/>
          <w:color w:val="auto"/>
          <w:sz w:val="24"/>
          <w:szCs w:val="22"/>
          <w:lang w:eastAsia="en-US"/>
        </w:rPr>
        <w:id w:val="1249771175"/>
        <w:docPartObj>
          <w:docPartGallery w:val="Table of Contents"/>
          <w:docPartUnique/>
        </w:docPartObj>
      </w:sdtPr>
      <w:sdtEndPr>
        <w:rPr>
          <w:b/>
          <w:bCs/>
        </w:rPr>
      </w:sdtEndPr>
      <w:sdtContent>
        <w:p w14:paraId="5787389F" w14:textId="1E95BE9A" w:rsidR="000C5726" w:rsidRPr="00412994" w:rsidRDefault="000C5726" w:rsidP="00C219AF">
          <w:pPr>
            <w:pStyle w:val="TOCHeading"/>
            <w:spacing w:line="240" w:lineRule="auto"/>
            <w:jc w:val="both"/>
            <w:rPr>
              <w:rFonts w:ascii="Arial" w:hAnsi="Arial" w:cs="Arial"/>
              <w:b/>
              <w:bCs/>
              <w:color w:val="auto"/>
              <w:sz w:val="28"/>
              <w:szCs w:val="28"/>
            </w:rPr>
          </w:pPr>
          <w:r w:rsidRPr="00412994">
            <w:rPr>
              <w:rFonts w:ascii="Arial" w:hAnsi="Arial" w:cs="Arial"/>
              <w:b/>
              <w:bCs/>
              <w:color w:val="auto"/>
              <w:sz w:val="28"/>
              <w:szCs w:val="28"/>
            </w:rPr>
            <w:t>Table of Contents</w:t>
          </w:r>
        </w:p>
        <w:p w14:paraId="26B2CE46" w14:textId="0FA5BCF9" w:rsidR="00173D09" w:rsidRDefault="000C5726">
          <w:pPr>
            <w:pStyle w:val="TOC1"/>
            <w:tabs>
              <w:tab w:val="left" w:pos="440"/>
              <w:tab w:val="right" w:leader="dot" w:pos="9016"/>
            </w:tabs>
            <w:rPr>
              <w:rFonts w:asciiTheme="minorHAnsi" w:eastAsiaTheme="minorEastAsia" w:hAnsiTheme="minorHAnsi"/>
              <w:noProof/>
              <w:kern w:val="2"/>
              <w:sz w:val="22"/>
              <w:lang w:eastAsia="en-GB"/>
              <w14:ligatures w14:val="standardContextual"/>
            </w:rPr>
          </w:pPr>
          <w:r w:rsidRPr="00412994">
            <w:rPr>
              <w:rFonts w:cs="Arial"/>
            </w:rPr>
            <w:fldChar w:fldCharType="begin"/>
          </w:r>
          <w:r w:rsidRPr="00412994">
            <w:rPr>
              <w:rFonts w:cs="Arial"/>
            </w:rPr>
            <w:instrText xml:space="preserve"> TOC \o "1-3" \h \z \u </w:instrText>
          </w:r>
          <w:r w:rsidRPr="00412994">
            <w:rPr>
              <w:rFonts w:cs="Arial"/>
            </w:rPr>
            <w:fldChar w:fldCharType="separate"/>
          </w:r>
          <w:hyperlink w:anchor="_Toc181889849" w:history="1">
            <w:r w:rsidR="00173D09" w:rsidRPr="0087519A">
              <w:rPr>
                <w:rStyle w:val="Hyperlink"/>
                <w:b/>
                <w:bCs/>
                <w:noProof/>
              </w:rPr>
              <w:t>1.</w:t>
            </w:r>
            <w:r w:rsidR="00173D09">
              <w:rPr>
                <w:rFonts w:asciiTheme="minorHAnsi" w:eastAsiaTheme="minorEastAsia" w:hAnsiTheme="minorHAnsi"/>
                <w:noProof/>
                <w:kern w:val="2"/>
                <w:sz w:val="22"/>
                <w:lang w:eastAsia="en-GB"/>
                <w14:ligatures w14:val="standardContextual"/>
              </w:rPr>
              <w:tab/>
            </w:r>
            <w:r w:rsidR="00173D09" w:rsidRPr="0087519A">
              <w:rPr>
                <w:rStyle w:val="Hyperlink"/>
                <w:b/>
                <w:bCs/>
                <w:noProof/>
              </w:rPr>
              <w:t>What is harassment?</w:t>
            </w:r>
            <w:r w:rsidR="00173D09">
              <w:rPr>
                <w:noProof/>
                <w:webHidden/>
              </w:rPr>
              <w:tab/>
            </w:r>
            <w:r w:rsidR="00173D09">
              <w:rPr>
                <w:noProof/>
                <w:webHidden/>
              </w:rPr>
              <w:fldChar w:fldCharType="begin"/>
            </w:r>
            <w:r w:rsidR="00173D09">
              <w:rPr>
                <w:noProof/>
                <w:webHidden/>
              </w:rPr>
              <w:instrText xml:space="preserve"> PAGEREF _Toc181889849 \h </w:instrText>
            </w:r>
            <w:r w:rsidR="00173D09">
              <w:rPr>
                <w:noProof/>
                <w:webHidden/>
              </w:rPr>
            </w:r>
            <w:r w:rsidR="00173D09">
              <w:rPr>
                <w:noProof/>
                <w:webHidden/>
              </w:rPr>
              <w:fldChar w:fldCharType="separate"/>
            </w:r>
            <w:r w:rsidR="00173D09">
              <w:rPr>
                <w:noProof/>
                <w:webHidden/>
              </w:rPr>
              <w:t>3</w:t>
            </w:r>
            <w:r w:rsidR="00173D09">
              <w:rPr>
                <w:noProof/>
                <w:webHidden/>
              </w:rPr>
              <w:fldChar w:fldCharType="end"/>
            </w:r>
          </w:hyperlink>
        </w:p>
        <w:p w14:paraId="34A02148" w14:textId="21E0D77E"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0" w:history="1">
            <w:r w:rsidRPr="0087519A">
              <w:rPr>
                <w:rStyle w:val="Hyperlink"/>
                <w:noProof/>
              </w:rPr>
              <w:t>1.1</w:t>
            </w:r>
            <w:r>
              <w:rPr>
                <w:rFonts w:asciiTheme="minorHAnsi" w:eastAsiaTheme="minorEastAsia" w:hAnsiTheme="minorHAnsi"/>
                <w:noProof/>
                <w:kern w:val="2"/>
                <w:sz w:val="22"/>
                <w:lang w:eastAsia="en-GB"/>
                <w14:ligatures w14:val="standardContextual"/>
              </w:rPr>
              <w:tab/>
            </w:r>
            <w:r w:rsidRPr="0087519A">
              <w:rPr>
                <w:rStyle w:val="Hyperlink"/>
                <w:noProof/>
              </w:rPr>
              <w:t>Unwanted conduct</w:t>
            </w:r>
            <w:r>
              <w:rPr>
                <w:noProof/>
                <w:webHidden/>
              </w:rPr>
              <w:tab/>
            </w:r>
            <w:r>
              <w:rPr>
                <w:noProof/>
                <w:webHidden/>
              </w:rPr>
              <w:fldChar w:fldCharType="begin"/>
            </w:r>
            <w:r>
              <w:rPr>
                <w:noProof/>
                <w:webHidden/>
              </w:rPr>
              <w:instrText xml:space="preserve"> PAGEREF _Toc181889850 \h </w:instrText>
            </w:r>
            <w:r>
              <w:rPr>
                <w:noProof/>
                <w:webHidden/>
              </w:rPr>
            </w:r>
            <w:r>
              <w:rPr>
                <w:noProof/>
                <w:webHidden/>
              </w:rPr>
              <w:fldChar w:fldCharType="separate"/>
            </w:r>
            <w:r>
              <w:rPr>
                <w:noProof/>
                <w:webHidden/>
              </w:rPr>
              <w:t>4</w:t>
            </w:r>
            <w:r>
              <w:rPr>
                <w:noProof/>
                <w:webHidden/>
              </w:rPr>
              <w:fldChar w:fldCharType="end"/>
            </w:r>
          </w:hyperlink>
        </w:p>
        <w:p w14:paraId="7E29966D" w14:textId="4C2D0AF0"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1" w:history="1">
            <w:r w:rsidRPr="0087519A">
              <w:rPr>
                <w:rStyle w:val="Hyperlink"/>
                <w:noProof/>
              </w:rPr>
              <w:t>1.2</w:t>
            </w:r>
            <w:r>
              <w:rPr>
                <w:rFonts w:asciiTheme="minorHAnsi" w:eastAsiaTheme="minorEastAsia" w:hAnsiTheme="minorHAnsi"/>
                <w:noProof/>
                <w:kern w:val="2"/>
                <w:sz w:val="22"/>
                <w:lang w:eastAsia="en-GB"/>
                <w14:ligatures w14:val="standardContextual"/>
              </w:rPr>
              <w:tab/>
            </w:r>
            <w:r w:rsidRPr="0087519A">
              <w:rPr>
                <w:rStyle w:val="Hyperlink"/>
                <w:noProof/>
              </w:rPr>
              <w:t>Unwanted conduct related to a relevant protected characteristic</w:t>
            </w:r>
            <w:r>
              <w:rPr>
                <w:noProof/>
                <w:webHidden/>
              </w:rPr>
              <w:tab/>
            </w:r>
            <w:r>
              <w:rPr>
                <w:noProof/>
                <w:webHidden/>
              </w:rPr>
              <w:fldChar w:fldCharType="begin"/>
            </w:r>
            <w:r>
              <w:rPr>
                <w:noProof/>
                <w:webHidden/>
              </w:rPr>
              <w:instrText xml:space="preserve"> PAGEREF _Toc181889851 \h </w:instrText>
            </w:r>
            <w:r>
              <w:rPr>
                <w:noProof/>
                <w:webHidden/>
              </w:rPr>
            </w:r>
            <w:r>
              <w:rPr>
                <w:noProof/>
                <w:webHidden/>
              </w:rPr>
              <w:fldChar w:fldCharType="separate"/>
            </w:r>
            <w:r>
              <w:rPr>
                <w:noProof/>
                <w:webHidden/>
              </w:rPr>
              <w:t>5</w:t>
            </w:r>
            <w:r>
              <w:rPr>
                <w:noProof/>
                <w:webHidden/>
              </w:rPr>
              <w:fldChar w:fldCharType="end"/>
            </w:r>
          </w:hyperlink>
        </w:p>
        <w:p w14:paraId="1C7CDA8C" w14:textId="5CB31676"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2" w:history="1">
            <w:r w:rsidRPr="0087519A">
              <w:rPr>
                <w:rStyle w:val="Hyperlink"/>
                <w:noProof/>
              </w:rPr>
              <w:t>1.3</w:t>
            </w:r>
            <w:r>
              <w:rPr>
                <w:rFonts w:asciiTheme="minorHAnsi" w:eastAsiaTheme="minorEastAsia" w:hAnsiTheme="minorHAnsi"/>
                <w:noProof/>
                <w:kern w:val="2"/>
                <w:sz w:val="22"/>
                <w:lang w:eastAsia="en-GB"/>
                <w14:ligatures w14:val="standardContextual"/>
              </w:rPr>
              <w:tab/>
            </w:r>
            <w:r w:rsidRPr="0087519A">
              <w:rPr>
                <w:rStyle w:val="Hyperlink"/>
                <w:noProof/>
              </w:rPr>
              <w:t>The conduct has the purpose or effect of violating dignity or creating an intimidating, hostile, degrading, humiliating or offensive environment.</w:t>
            </w:r>
            <w:r>
              <w:rPr>
                <w:noProof/>
                <w:webHidden/>
              </w:rPr>
              <w:tab/>
            </w:r>
            <w:r>
              <w:rPr>
                <w:noProof/>
                <w:webHidden/>
              </w:rPr>
              <w:fldChar w:fldCharType="begin"/>
            </w:r>
            <w:r>
              <w:rPr>
                <w:noProof/>
                <w:webHidden/>
              </w:rPr>
              <w:instrText xml:space="preserve"> PAGEREF _Toc181889852 \h </w:instrText>
            </w:r>
            <w:r>
              <w:rPr>
                <w:noProof/>
                <w:webHidden/>
              </w:rPr>
            </w:r>
            <w:r>
              <w:rPr>
                <w:noProof/>
                <w:webHidden/>
              </w:rPr>
              <w:fldChar w:fldCharType="separate"/>
            </w:r>
            <w:r>
              <w:rPr>
                <w:noProof/>
                <w:webHidden/>
              </w:rPr>
              <w:t>6</w:t>
            </w:r>
            <w:r>
              <w:rPr>
                <w:noProof/>
                <w:webHidden/>
              </w:rPr>
              <w:fldChar w:fldCharType="end"/>
            </w:r>
          </w:hyperlink>
        </w:p>
        <w:p w14:paraId="7CD8E594" w14:textId="02AF424A"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53" w:history="1">
            <w:r w:rsidRPr="0087519A">
              <w:rPr>
                <w:rStyle w:val="Hyperlink"/>
                <w:b/>
                <w:bCs/>
                <w:noProof/>
              </w:rPr>
              <w:t>2.</w:t>
            </w:r>
            <w:r>
              <w:rPr>
                <w:rFonts w:asciiTheme="minorHAnsi" w:eastAsiaTheme="minorEastAsia" w:hAnsiTheme="minorHAnsi"/>
                <w:noProof/>
                <w:kern w:val="2"/>
                <w:sz w:val="22"/>
                <w:lang w:eastAsia="en-GB"/>
                <w14:ligatures w14:val="standardContextual"/>
              </w:rPr>
              <w:tab/>
            </w:r>
            <w:r w:rsidRPr="0087519A">
              <w:rPr>
                <w:rStyle w:val="Hyperlink"/>
                <w:b/>
                <w:bCs/>
                <w:noProof/>
              </w:rPr>
              <w:t>Behaviour that may lead to harassment</w:t>
            </w:r>
            <w:r>
              <w:rPr>
                <w:noProof/>
                <w:webHidden/>
              </w:rPr>
              <w:tab/>
            </w:r>
            <w:r>
              <w:rPr>
                <w:noProof/>
                <w:webHidden/>
              </w:rPr>
              <w:fldChar w:fldCharType="begin"/>
            </w:r>
            <w:r>
              <w:rPr>
                <w:noProof/>
                <w:webHidden/>
              </w:rPr>
              <w:instrText xml:space="preserve"> PAGEREF _Toc181889853 \h </w:instrText>
            </w:r>
            <w:r>
              <w:rPr>
                <w:noProof/>
                <w:webHidden/>
              </w:rPr>
            </w:r>
            <w:r>
              <w:rPr>
                <w:noProof/>
                <w:webHidden/>
              </w:rPr>
              <w:fldChar w:fldCharType="separate"/>
            </w:r>
            <w:r>
              <w:rPr>
                <w:noProof/>
                <w:webHidden/>
              </w:rPr>
              <w:t>8</w:t>
            </w:r>
            <w:r>
              <w:rPr>
                <w:noProof/>
                <w:webHidden/>
              </w:rPr>
              <w:fldChar w:fldCharType="end"/>
            </w:r>
          </w:hyperlink>
        </w:p>
        <w:p w14:paraId="27EC4BDD" w14:textId="5205308A"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4" w:history="1">
            <w:r w:rsidRPr="0087519A">
              <w:rPr>
                <w:rStyle w:val="Hyperlink"/>
                <w:noProof/>
              </w:rPr>
              <w:t>2.1</w:t>
            </w:r>
            <w:r>
              <w:rPr>
                <w:rFonts w:asciiTheme="minorHAnsi" w:eastAsiaTheme="minorEastAsia" w:hAnsiTheme="minorHAnsi"/>
                <w:noProof/>
                <w:kern w:val="2"/>
                <w:sz w:val="22"/>
                <w:lang w:eastAsia="en-GB"/>
                <w14:ligatures w14:val="standardContextual"/>
              </w:rPr>
              <w:tab/>
            </w:r>
            <w:r w:rsidRPr="0087519A">
              <w:rPr>
                <w:rStyle w:val="Hyperlink"/>
                <w:noProof/>
              </w:rPr>
              <w:t>Bullying</w:t>
            </w:r>
            <w:r>
              <w:rPr>
                <w:noProof/>
                <w:webHidden/>
              </w:rPr>
              <w:tab/>
            </w:r>
            <w:r>
              <w:rPr>
                <w:noProof/>
                <w:webHidden/>
              </w:rPr>
              <w:fldChar w:fldCharType="begin"/>
            </w:r>
            <w:r>
              <w:rPr>
                <w:noProof/>
                <w:webHidden/>
              </w:rPr>
              <w:instrText xml:space="preserve"> PAGEREF _Toc181889854 \h </w:instrText>
            </w:r>
            <w:r>
              <w:rPr>
                <w:noProof/>
                <w:webHidden/>
              </w:rPr>
            </w:r>
            <w:r>
              <w:rPr>
                <w:noProof/>
                <w:webHidden/>
              </w:rPr>
              <w:fldChar w:fldCharType="separate"/>
            </w:r>
            <w:r>
              <w:rPr>
                <w:noProof/>
                <w:webHidden/>
              </w:rPr>
              <w:t>8</w:t>
            </w:r>
            <w:r>
              <w:rPr>
                <w:noProof/>
                <w:webHidden/>
              </w:rPr>
              <w:fldChar w:fldCharType="end"/>
            </w:r>
          </w:hyperlink>
        </w:p>
        <w:p w14:paraId="2F2722BF" w14:textId="30EB88C1"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5" w:history="1">
            <w:r w:rsidRPr="0087519A">
              <w:rPr>
                <w:rStyle w:val="Hyperlink"/>
                <w:noProof/>
              </w:rPr>
              <w:t>2.2</w:t>
            </w:r>
            <w:r>
              <w:rPr>
                <w:rFonts w:asciiTheme="minorHAnsi" w:eastAsiaTheme="minorEastAsia" w:hAnsiTheme="minorHAnsi"/>
                <w:noProof/>
                <w:kern w:val="2"/>
                <w:sz w:val="22"/>
                <w:lang w:eastAsia="en-GB"/>
                <w14:ligatures w14:val="standardContextual"/>
              </w:rPr>
              <w:tab/>
            </w:r>
            <w:r w:rsidRPr="0087519A">
              <w:rPr>
                <w:rStyle w:val="Hyperlink"/>
                <w:noProof/>
              </w:rPr>
              <w:t>Workplace banter</w:t>
            </w:r>
            <w:r>
              <w:rPr>
                <w:noProof/>
                <w:webHidden/>
              </w:rPr>
              <w:tab/>
            </w:r>
            <w:r>
              <w:rPr>
                <w:noProof/>
                <w:webHidden/>
              </w:rPr>
              <w:fldChar w:fldCharType="begin"/>
            </w:r>
            <w:r>
              <w:rPr>
                <w:noProof/>
                <w:webHidden/>
              </w:rPr>
              <w:instrText xml:space="preserve"> PAGEREF _Toc181889855 \h </w:instrText>
            </w:r>
            <w:r>
              <w:rPr>
                <w:noProof/>
                <w:webHidden/>
              </w:rPr>
            </w:r>
            <w:r>
              <w:rPr>
                <w:noProof/>
                <w:webHidden/>
              </w:rPr>
              <w:fldChar w:fldCharType="separate"/>
            </w:r>
            <w:r>
              <w:rPr>
                <w:noProof/>
                <w:webHidden/>
              </w:rPr>
              <w:t>8</w:t>
            </w:r>
            <w:r>
              <w:rPr>
                <w:noProof/>
                <w:webHidden/>
              </w:rPr>
              <w:fldChar w:fldCharType="end"/>
            </w:r>
          </w:hyperlink>
        </w:p>
        <w:p w14:paraId="0B6CBB7A" w14:textId="074D5829"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56" w:history="1">
            <w:r w:rsidRPr="0087519A">
              <w:rPr>
                <w:rStyle w:val="Hyperlink"/>
                <w:b/>
                <w:bCs/>
                <w:noProof/>
              </w:rPr>
              <w:t>3.</w:t>
            </w:r>
            <w:r>
              <w:rPr>
                <w:rFonts w:asciiTheme="minorHAnsi" w:eastAsiaTheme="minorEastAsia" w:hAnsiTheme="minorHAnsi"/>
                <w:noProof/>
                <w:kern w:val="2"/>
                <w:sz w:val="22"/>
                <w:lang w:eastAsia="en-GB"/>
                <w14:ligatures w14:val="standardContextual"/>
              </w:rPr>
              <w:tab/>
            </w:r>
            <w:r w:rsidRPr="0087519A">
              <w:rPr>
                <w:rStyle w:val="Hyperlink"/>
                <w:b/>
                <w:bCs/>
                <w:noProof/>
              </w:rPr>
              <w:t>Sexual Harassment</w:t>
            </w:r>
            <w:r>
              <w:rPr>
                <w:noProof/>
                <w:webHidden/>
              </w:rPr>
              <w:tab/>
            </w:r>
            <w:r>
              <w:rPr>
                <w:noProof/>
                <w:webHidden/>
              </w:rPr>
              <w:fldChar w:fldCharType="begin"/>
            </w:r>
            <w:r>
              <w:rPr>
                <w:noProof/>
                <w:webHidden/>
              </w:rPr>
              <w:instrText xml:space="preserve"> PAGEREF _Toc181889856 \h </w:instrText>
            </w:r>
            <w:r>
              <w:rPr>
                <w:noProof/>
                <w:webHidden/>
              </w:rPr>
            </w:r>
            <w:r>
              <w:rPr>
                <w:noProof/>
                <w:webHidden/>
              </w:rPr>
              <w:fldChar w:fldCharType="separate"/>
            </w:r>
            <w:r>
              <w:rPr>
                <w:noProof/>
                <w:webHidden/>
              </w:rPr>
              <w:t>10</w:t>
            </w:r>
            <w:r>
              <w:rPr>
                <w:noProof/>
                <w:webHidden/>
              </w:rPr>
              <w:fldChar w:fldCharType="end"/>
            </w:r>
          </w:hyperlink>
        </w:p>
        <w:p w14:paraId="6560F2BD" w14:textId="4E9D94E8"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7" w:history="1">
            <w:r w:rsidRPr="0087519A">
              <w:rPr>
                <w:rStyle w:val="Hyperlink"/>
                <w:noProof/>
              </w:rPr>
              <w:t>3.1</w:t>
            </w:r>
            <w:r>
              <w:rPr>
                <w:rFonts w:asciiTheme="minorHAnsi" w:eastAsiaTheme="minorEastAsia" w:hAnsiTheme="minorHAnsi"/>
                <w:noProof/>
                <w:kern w:val="2"/>
                <w:sz w:val="22"/>
                <w:lang w:eastAsia="en-GB"/>
                <w14:ligatures w14:val="standardContextual"/>
              </w:rPr>
              <w:tab/>
            </w:r>
            <w:r w:rsidRPr="0087519A">
              <w:rPr>
                <w:rStyle w:val="Hyperlink"/>
                <w:noProof/>
                <w:shd w:val="clear" w:color="auto" w:fill="FFFFFF"/>
              </w:rPr>
              <w:t>Vicarious liability</w:t>
            </w:r>
            <w:r>
              <w:rPr>
                <w:noProof/>
                <w:webHidden/>
              </w:rPr>
              <w:tab/>
            </w:r>
            <w:r>
              <w:rPr>
                <w:noProof/>
                <w:webHidden/>
              </w:rPr>
              <w:fldChar w:fldCharType="begin"/>
            </w:r>
            <w:r>
              <w:rPr>
                <w:noProof/>
                <w:webHidden/>
              </w:rPr>
              <w:instrText xml:space="preserve"> PAGEREF _Toc181889857 \h </w:instrText>
            </w:r>
            <w:r>
              <w:rPr>
                <w:noProof/>
                <w:webHidden/>
              </w:rPr>
            </w:r>
            <w:r>
              <w:rPr>
                <w:noProof/>
                <w:webHidden/>
              </w:rPr>
              <w:fldChar w:fldCharType="separate"/>
            </w:r>
            <w:r>
              <w:rPr>
                <w:noProof/>
                <w:webHidden/>
              </w:rPr>
              <w:t>10</w:t>
            </w:r>
            <w:r>
              <w:rPr>
                <w:noProof/>
                <w:webHidden/>
              </w:rPr>
              <w:fldChar w:fldCharType="end"/>
            </w:r>
          </w:hyperlink>
        </w:p>
        <w:p w14:paraId="534D1812" w14:textId="4BDC095A"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58" w:history="1">
            <w:r w:rsidRPr="0087519A">
              <w:rPr>
                <w:rStyle w:val="Hyperlink"/>
                <w:noProof/>
              </w:rPr>
              <w:t>3.2</w:t>
            </w:r>
            <w:r>
              <w:rPr>
                <w:rFonts w:asciiTheme="minorHAnsi" w:eastAsiaTheme="minorEastAsia" w:hAnsiTheme="minorHAnsi"/>
                <w:noProof/>
                <w:kern w:val="2"/>
                <w:sz w:val="22"/>
                <w:lang w:eastAsia="en-GB"/>
                <w14:ligatures w14:val="standardContextual"/>
              </w:rPr>
              <w:tab/>
            </w:r>
            <w:r w:rsidRPr="0087519A">
              <w:rPr>
                <w:rStyle w:val="Hyperlink"/>
                <w:noProof/>
              </w:rPr>
              <w:t>Third-party action</w:t>
            </w:r>
            <w:r>
              <w:rPr>
                <w:noProof/>
                <w:webHidden/>
              </w:rPr>
              <w:tab/>
            </w:r>
            <w:r>
              <w:rPr>
                <w:noProof/>
                <w:webHidden/>
              </w:rPr>
              <w:fldChar w:fldCharType="begin"/>
            </w:r>
            <w:r>
              <w:rPr>
                <w:noProof/>
                <w:webHidden/>
              </w:rPr>
              <w:instrText xml:space="preserve"> PAGEREF _Toc181889858 \h </w:instrText>
            </w:r>
            <w:r>
              <w:rPr>
                <w:noProof/>
                <w:webHidden/>
              </w:rPr>
            </w:r>
            <w:r>
              <w:rPr>
                <w:noProof/>
                <w:webHidden/>
              </w:rPr>
              <w:fldChar w:fldCharType="separate"/>
            </w:r>
            <w:r>
              <w:rPr>
                <w:noProof/>
                <w:webHidden/>
              </w:rPr>
              <w:t>11</w:t>
            </w:r>
            <w:r>
              <w:rPr>
                <w:noProof/>
                <w:webHidden/>
              </w:rPr>
              <w:fldChar w:fldCharType="end"/>
            </w:r>
          </w:hyperlink>
        </w:p>
        <w:p w14:paraId="4FA15B75" w14:textId="277F471A"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59" w:history="1">
            <w:r w:rsidRPr="0087519A">
              <w:rPr>
                <w:rStyle w:val="Hyperlink"/>
                <w:b/>
                <w:bCs/>
                <w:noProof/>
              </w:rPr>
              <w:t>4.</w:t>
            </w:r>
            <w:r>
              <w:rPr>
                <w:rFonts w:asciiTheme="minorHAnsi" w:eastAsiaTheme="minorEastAsia" w:hAnsiTheme="minorHAnsi"/>
                <w:noProof/>
                <w:kern w:val="2"/>
                <w:sz w:val="22"/>
                <w:lang w:eastAsia="en-GB"/>
                <w14:ligatures w14:val="standardContextual"/>
              </w:rPr>
              <w:tab/>
            </w:r>
            <w:r w:rsidRPr="0087519A">
              <w:rPr>
                <w:rStyle w:val="Hyperlink"/>
                <w:b/>
                <w:bCs/>
                <w:noProof/>
              </w:rPr>
              <w:t>The cost of harassment</w:t>
            </w:r>
            <w:r>
              <w:rPr>
                <w:noProof/>
                <w:webHidden/>
              </w:rPr>
              <w:tab/>
            </w:r>
            <w:r>
              <w:rPr>
                <w:noProof/>
                <w:webHidden/>
              </w:rPr>
              <w:fldChar w:fldCharType="begin"/>
            </w:r>
            <w:r>
              <w:rPr>
                <w:noProof/>
                <w:webHidden/>
              </w:rPr>
              <w:instrText xml:space="preserve"> PAGEREF _Toc181889859 \h </w:instrText>
            </w:r>
            <w:r>
              <w:rPr>
                <w:noProof/>
                <w:webHidden/>
              </w:rPr>
            </w:r>
            <w:r>
              <w:rPr>
                <w:noProof/>
                <w:webHidden/>
              </w:rPr>
              <w:fldChar w:fldCharType="separate"/>
            </w:r>
            <w:r>
              <w:rPr>
                <w:noProof/>
                <w:webHidden/>
              </w:rPr>
              <w:t>12</w:t>
            </w:r>
            <w:r>
              <w:rPr>
                <w:noProof/>
                <w:webHidden/>
              </w:rPr>
              <w:fldChar w:fldCharType="end"/>
            </w:r>
          </w:hyperlink>
        </w:p>
        <w:p w14:paraId="7C3E6713" w14:textId="43F1716C"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60" w:history="1">
            <w:r w:rsidRPr="0087519A">
              <w:rPr>
                <w:rStyle w:val="Hyperlink"/>
                <w:b/>
                <w:bCs/>
                <w:noProof/>
              </w:rPr>
              <w:t>5.</w:t>
            </w:r>
            <w:r>
              <w:rPr>
                <w:rFonts w:asciiTheme="minorHAnsi" w:eastAsiaTheme="minorEastAsia" w:hAnsiTheme="minorHAnsi"/>
                <w:noProof/>
                <w:kern w:val="2"/>
                <w:sz w:val="22"/>
                <w:lang w:eastAsia="en-GB"/>
                <w14:ligatures w14:val="standardContextual"/>
              </w:rPr>
              <w:tab/>
            </w:r>
            <w:r w:rsidRPr="0087519A">
              <w:rPr>
                <w:rStyle w:val="Hyperlink"/>
                <w:b/>
                <w:bCs/>
                <w:noProof/>
              </w:rPr>
              <w:t>Preventing sexual harassment</w:t>
            </w:r>
            <w:r>
              <w:rPr>
                <w:noProof/>
                <w:webHidden/>
              </w:rPr>
              <w:tab/>
            </w:r>
            <w:r>
              <w:rPr>
                <w:noProof/>
                <w:webHidden/>
              </w:rPr>
              <w:fldChar w:fldCharType="begin"/>
            </w:r>
            <w:r>
              <w:rPr>
                <w:noProof/>
                <w:webHidden/>
              </w:rPr>
              <w:instrText xml:space="preserve"> PAGEREF _Toc181889860 \h </w:instrText>
            </w:r>
            <w:r>
              <w:rPr>
                <w:noProof/>
                <w:webHidden/>
              </w:rPr>
            </w:r>
            <w:r>
              <w:rPr>
                <w:noProof/>
                <w:webHidden/>
              </w:rPr>
              <w:fldChar w:fldCharType="separate"/>
            </w:r>
            <w:r>
              <w:rPr>
                <w:noProof/>
                <w:webHidden/>
              </w:rPr>
              <w:t>12</w:t>
            </w:r>
            <w:r>
              <w:rPr>
                <w:noProof/>
                <w:webHidden/>
              </w:rPr>
              <w:fldChar w:fldCharType="end"/>
            </w:r>
          </w:hyperlink>
        </w:p>
        <w:p w14:paraId="0105405D" w14:textId="4E4DB0EB"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1" w:history="1">
            <w:r w:rsidRPr="0087519A">
              <w:rPr>
                <w:rStyle w:val="Hyperlink"/>
                <w:noProof/>
              </w:rPr>
              <w:t>5.1</w:t>
            </w:r>
            <w:r>
              <w:rPr>
                <w:rFonts w:asciiTheme="minorHAnsi" w:eastAsiaTheme="minorEastAsia" w:hAnsiTheme="minorHAnsi"/>
                <w:noProof/>
                <w:kern w:val="2"/>
                <w:sz w:val="22"/>
                <w:lang w:eastAsia="en-GB"/>
                <w14:ligatures w14:val="standardContextual"/>
              </w:rPr>
              <w:tab/>
            </w:r>
            <w:r w:rsidRPr="0087519A">
              <w:rPr>
                <w:rStyle w:val="Hyperlink"/>
                <w:noProof/>
              </w:rPr>
              <w:t>Anticipatory duty</w:t>
            </w:r>
            <w:r>
              <w:rPr>
                <w:noProof/>
                <w:webHidden/>
              </w:rPr>
              <w:tab/>
            </w:r>
            <w:r>
              <w:rPr>
                <w:noProof/>
                <w:webHidden/>
              </w:rPr>
              <w:fldChar w:fldCharType="begin"/>
            </w:r>
            <w:r>
              <w:rPr>
                <w:noProof/>
                <w:webHidden/>
              </w:rPr>
              <w:instrText xml:space="preserve"> PAGEREF _Toc181889861 \h </w:instrText>
            </w:r>
            <w:r>
              <w:rPr>
                <w:noProof/>
                <w:webHidden/>
              </w:rPr>
            </w:r>
            <w:r>
              <w:rPr>
                <w:noProof/>
                <w:webHidden/>
              </w:rPr>
              <w:fldChar w:fldCharType="separate"/>
            </w:r>
            <w:r>
              <w:rPr>
                <w:noProof/>
                <w:webHidden/>
              </w:rPr>
              <w:t>12</w:t>
            </w:r>
            <w:r>
              <w:rPr>
                <w:noProof/>
                <w:webHidden/>
              </w:rPr>
              <w:fldChar w:fldCharType="end"/>
            </w:r>
          </w:hyperlink>
        </w:p>
        <w:p w14:paraId="4182D806" w14:textId="27F829DC"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2" w:history="1">
            <w:r w:rsidRPr="0087519A">
              <w:rPr>
                <w:rStyle w:val="Hyperlink"/>
                <w:noProof/>
              </w:rPr>
              <w:t>5.2</w:t>
            </w:r>
            <w:r>
              <w:rPr>
                <w:rFonts w:asciiTheme="minorHAnsi" w:eastAsiaTheme="minorEastAsia" w:hAnsiTheme="minorHAnsi"/>
                <w:noProof/>
                <w:kern w:val="2"/>
                <w:sz w:val="22"/>
                <w:lang w:eastAsia="en-GB"/>
                <w14:ligatures w14:val="standardContextual"/>
              </w:rPr>
              <w:tab/>
            </w:r>
            <w:r w:rsidRPr="0087519A">
              <w:rPr>
                <w:rStyle w:val="Hyperlink"/>
                <w:noProof/>
              </w:rPr>
              <w:t>Reasonable Steps</w:t>
            </w:r>
            <w:r>
              <w:rPr>
                <w:noProof/>
                <w:webHidden/>
              </w:rPr>
              <w:tab/>
            </w:r>
            <w:r>
              <w:rPr>
                <w:noProof/>
                <w:webHidden/>
              </w:rPr>
              <w:fldChar w:fldCharType="begin"/>
            </w:r>
            <w:r>
              <w:rPr>
                <w:noProof/>
                <w:webHidden/>
              </w:rPr>
              <w:instrText xml:space="preserve"> PAGEREF _Toc181889862 \h </w:instrText>
            </w:r>
            <w:r>
              <w:rPr>
                <w:noProof/>
                <w:webHidden/>
              </w:rPr>
            </w:r>
            <w:r>
              <w:rPr>
                <w:noProof/>
                <w:webHidden/>
              </w:rPr>
              <w:fldChar w:fldCharType="separate"/>
            </w:r>
            <w:r>
              <w:rPr>
                <w:noProof/>
                <w:webHidden/>
              </w:rPr>
              <w:t>13</w:t>
            </w:r>
            <w:r>
              <w:rPr>
                <w:noProof/>
                <w:webHidden/>
              </w:rPr>
              <w:fldChar w:fldCharType="end"/>
            </w:r>
          </w:hyperlink>
        </w:p>
        <w:p w14:paraId="53A62669" w14:textId="6CAD4FD1"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3" w:history="1">
            <w:r w:rsidRPr="0087519A">
              <w:rPr>
                <w:rStyle w:val="Hyperlink"/>
                <w:noProof/>
              </w:rPr>
              <w:t>5.3</w:t>
            </w:r>
            <w:r>
              <w:rPr>
                <w:rFonts w:asciiTheme="minorHAnsi" w:eastAsiaTheme="minorEastAsia" w:hAnsiTheme="minorHAnsi"/>
                <w:noProof/>
                <w:kern w:val="2"/>
                <w:sz w:val="22"/>
                <w:lang w:eastAsia="en-GB"/>
                <w14:ligatures w14:val="standardContextual"/>
              </w:rPr>
              <w:tab/>
            </w:r>
            <w:r w:rsidRPr="0087519A">
              <w:rPr>
                <w:rStyle w:val="Hyperlink"/>
                <w:noProof/>
                <w:shd w:val="clear" w:color="auto" w:fill="FFFFFF"/>
              </w:rPr>
              <w:t>The steps to prevent harassment must have taken place before the harassment occurred.</w:t>
            </w:r>
            <w:r>
              <w:rPr>
                <w:noProof/>
                <w:webHidden/>
              </w:rPr>
              <w:tab/>
            </w:r>
            <w:r>
              <w:rPr>
                <w:noProof/>
                <w:webHidden/>
              </w:rPr>
              <w:fldChar w:fldCharType="begin"/>
            </w:r>
            <w:r>
              <w:rPr>
                <w:noProof/>
                <w:webHidden/>
              </w:rPr>
              <w:instrText xml:space="preserve"> PAGEREF _Toc181889863 \h </w:instrText>
            </w:r>
            <w:r>
              <w:rPr>
                <w:noProof/>
                <w:webHidden/>
              </w:rPr>
            </w:r>
            <w:r>
              <w:rPr>
                <w:noProof/>
                <w:webHidden/>
              </w:rPr>
              <w:fldChar w:fldCharType="separate"/>
            </w:r>
            <w:r>
              <w:rPr>
                <w:noProof/>
                <w:webHidden/>
              </w:rPr>
              <w:t>13</w:t>
            </w:r>
            <w:r>
              <w:rPr>
                <w:noProof/>
                <w:webHidden/>
              </w:rPr>
              <w:fldChar w:fldCharType="end"/>
            </w:r>
          </w:hyperlink>
        </w:p>
        <w:p w14:paraId="281C7358" w14:textId="78AD65B3"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4" w:history="1">
            <w:r w:rsidRPr="0087519A">
              <w:rPr>
                <w:rStyle w:val="Hyperlink"/>
                <w:noProof/>
              </w:rPr>
              <w:t>5.4</w:t>
            </w:r>
            <w:r>
              <w:rPr>
                <w:rFonts w:asciiTheme="minorHAnsi" w:eastAsiaTheme="minorEastAsia" w:hAnsiTheme="minorHAnsi"/>
                <w:noProof/>
                <w:kern w:val="2"/>
                <w:sz w:val="22"/>
                <w:lang w:eastAsia="en-GB"/>
                <w14:ligatures w14:val="standardContextual"/>
              </w:rPr>
              <w:tab/>
            </w:r>
            <w:r w:rsidRPr="0087519A">
              <w:rPr>
                <w:rStyle w:val="Hyperlink"/>
                <w:noProof/>
                <w:shd w:val="clear" w:color="auto" w:fill="FFFFFF"/>
              </w:rPr>
              <w:t>Employers taking reasonable steps</w:t>
            </w:r>
            <w:r>
              <w:rPr>
                <w:noProof/>
                <w:webHidden/>
              </w:rPr>
              <w:tab/>
            </w:r>
            <w:r>
              <w:rPr>
                <w:noProof/>
                <w:webHidden/>
              </w:rPr>
              <w:fldChar w:fldCharType="begin"/>
            </w:r>
            <w:r>
              <w:rPr>
                <w:noProof/>
                <w:webHidden/>
              </w:rPr>
              <w:instrText xml:space="preserve"> PAGEREF _Toc181889864 \h </w:instrText>
            </w:r>
            <w:r>
              <w:rPr>
                <w:noProof/>
                <w:webHidden/>
              </w:rPr>
            </w:r>
            <w:r>
              <w:rPr>
                <w:noProof/>
                <w:webHidden/>
              </w:rPr>
              <w:fldChar w:fldCharType="separate"/>
            </w:r>
            <w:r>
              <w:rPr>
                <w:noProof/>
                <w:webHidden/>
              </w:rPr>
              <w:t>14</w:t>
            </w:r>
            <w:r>
              <w:rPr>
                <w:noProof/>
                <w:webHidden/>
              </w:rPr>
              <w:fldChar w:fldCharType="end"/>
            </w:r>
          </w:hyperlink>
        </w:p>
        <w:p w14:paraId="6681D1B4" w14:textId="3F4EFA58"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5" w:history="1">
            <w:r w:rsidRPr="0087519A">
              <w:rPr>
                <w:rStyle w:val="Hyperlink"/>
                <w:noProof/>
              </w:rPr>
              <w:t>5.5</w:t>
            </w:r>
            <w:r>
              <w:rPr>
                <w:rFonts w:asciiTheme="minorHAnsi" w:eastAsiaTheme="minorEastAsia" w:hAnsiTheme="minorHAnsi"/>
                <w:noProof/>
                <w:kern w:val="2"/>
                <w:sz w:val="22"/>
                <w:lang w:eastAsia="en-GB"/>
                <w14:ligatures w14:val="standardContextual"/>
              </w:rPr>
              <w:tab/>
            </w:r>
            <w:r w:rsidRPr="0087519A">
              <w:rPr>
                <w:rStyle w:val="Hyperlink"/>
                <w:noProof/>
                <w:shd w:val="clear" w:color="auto" w:fill="FFFFFF"/>
              </w:rPr>
              <w:t>How does all reasonable steps work practically?</w:t>
            </w:r>
            <w:r>
              <w:rPr>
                <w:noProof/>
                <w:webHidden/>
              </w:rPr>
              <w:tab/>
            </w:r>
            <w:r>
              <w:rPr>
                <w:noProof/>
                <w:webHidden/>
              </w:rPr>
              <w:fldChar w:fldCharType="begin"/>
            </w:r>
            <w:r>
              <w:rPr>
                <w:noProof/>
                <w:webHidden/>
              </w:rPr>
              <w:instrText xml:space="preserve"> PAGEREF _Toc181889865 \h </w:instrText>
            </w:r>
            <w:r>
              <w:rPr>
                <w:noProof/>
                <w:webHidden/>
              </w:rPr>
            </w:r>
            <w:r>
              <w:rPr>
                <w:noProof/>
                <w:webHidden/>
              </w:rPr>
              <w:fldChar w:fldCharType="separate"/>
            </w:r>
            <w:r>
              <w:rPr>
                <w:noProof/>
                <w:webHidden/>
              </w:rPr>
              <w:t>15</w:t>
            </w:r>
            <w:r>
              <w:rPr>
                <w:noProof/>
                <w:webHidden/>
              </w:rPr>
              <w:fldChar w:fldCharType="end"/>
            </w:r>
          </w:hyperlink>
        </w:p>
        <w:p w14:paraId="1D56E552" w14:textId="2F6585C4"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66" w:history="1">
            <w:r w:rsidRPr="0087519A">
              <w:rPr>
                <w:rStyle w:val="Hyperlink"/>
                <w:b/>
                <w:bCs/>
                <w:noProof/>
              </w:rPr>
              <w:t>6.</w:t>
            </w:r>
            <w:r>
              <w:rPr>
                <w:rFonts w:asciiTheme="minorHAnsi" w:eastAsiaTheme="minorEastAsia" w:hAnsiTheme="minorHAnsi"/>
                <w:noProof/>
                <w:kern w:val="2"/>
                <w:sz w:val="22"/>
                <w:lang w:eastAsia="en-GB"/>
                <w14:ligatures w14:val="standardContextual"/>
              </w:rPr>
              <w:tab/>
            </w:r>
            <w:r w:rsidRPr="0087519A">
              <w:rPr>
                <w:rStyle w:val="Hyperlink"/>
                <w:b/>
                <w:bCs/>
                <w:noProof/>
              </w:rPr>
              <w:t>School Actions</w:t>
            </w:r>
            <w:r>
              <w:rPr>
                <w:noProof/>
                <w:webHidden/>
              </w:rPr>
              <w:tab/>
            </w:r>
            <w:r>
              <w:rPr>
                <w:noProof/>
                <w:webHidden/>
              </w:rPr>
              <w:fldChar w:fldCharType="begin"/>
            </w:r>
            <w:r>
              <w:rPr>
                <w:noProof/>
                <w:webHidden/>
              </w:rPr>
              <w:instrText xml:space="preserve"> PAGEREF _Toc181889866 \h </w:instrText>
            </w:r>
            <w:r>
              <w:rPr>
                <w:noProof/>
                <w:webHidden/>
              </w:rPr>
            </w:r>
            <w:r>
              <w:rPr>
                <w:noProof/>
                <w:webHidden/>
              </w:rPr>
              <w:fldChar w:fldCharType="separate"/>
            </w:r>
            <w:r>
              <w:rPr>
                <w:noProof/>
                <w:webHidden/>
              </w:rPr>
              <w:t>16</w:t>
            </w:r>
            <w:r>
              <w:rPr>
                <w:noProof/>
                <w:webHidden/>
              </w:rPr>
              <w:fldChar w:fldCharType="end"/>
            </w:r>
          </w:hyperlink>
        </w:p>
        <w:p w14:paraId="29A84917" w14:textId="52F61B56" w:rsidR="00173D09" w:rsidRDefault="00173D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81889867" w:history="1">
            <w:r w:rsidRPr="0087519A">
              <w:rPr>
                <w:rStyle w:val="Hyperlink"/>
                <w:noProof/>
              </w:rPr>
              <w:t>6.1</w:t>
            </w:r>
            <w:r>
              <w:rPr>
                <w:rFonts w:asciiTheme="minorHAnsi" w:eastAsiaTheme="minorEastAsia" w:hAnsiTheme="minorHAnsi"/>
                <w:noProof/>
                <w:kern w:val="2"/>
                <w:sz w:val="22"/>
                <w:lang w:eastAsia="en-GB"/>
                <w14:ligatures w14:val="standardContextual"/>
              </w:rPr>
              <w:tab/>
            </w:r>
            <w:r w:rsidRPr="0087519A">
              <w:rPr>
                <w:rStyle w:val="Hyperlink"/>
                <w:noProof/>
              </w:rPr>
              <w:t>Policies, training and culture</w:t>
            </w:r>
            <w:r>
              <w:rPr>
                <w:noProof/>
                <w:webHidden/>
              </w:rPr>
              <w:tab/>
            </w:r>
            <w:r>
              <w:rPr>
                <w:noProof/>
                <w:webHidden/>
              </w:rPr>
              <w:fldChar w:fldCharType="begin"/>
            </w:r>
            <w:r>
              <w:rPr>
                <w:noProof/>
                <w:webHidden/>
              </w:rPr>
              <w:instrText xml:space="preserve"> PAGEREF _Toc181889867 \h </w:instrText>
            </w:r>
            <w:r>
              <w:rPr>
                <w:noProof/>
                <w:webHidden/>
              </w:rPr>
            </w:r>
            <w:r>
              <w:rPr>
                <w:noProof/>
                <w:webHidden/>
              </w:rPr>
              <w:fldChar w:fldCharType="separate"/>
            </w:r>
            <w:r>
              <w:rPr>
                <w:noProof/>
                <w:webHidden/>
              </w:rPr>
              <w:t>16</w:t>
            </w:r>
            <w:r>
              <w:rPr>
                <w:noProof/>
                <w:webHidden/>
              </w:rPr>
              <w:fldChar w:fldCharType="end"/>
            </w:r>
          </w:hyperlink>
        </w:p>
        <w:p w14:paraId="3808CA14" w14:textId="4C3EF573"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68" w:history="1">
            <w:r w:rsidRPr="0087519A">
              <w:rPr>
                <w:rStyle w:val="Hyperlink"/>
                <w:b/>
                <w:bCs/>
                <w:noProof/>
              </w:rPr>
              <w:t>7.</w:t>
            </w:r>
            <w:r>
              <w:rPr>
                <w:rFonts w:asciiTheme="minorHAnsi" w:eastAsiaTheme="minorEastAsia" w:hAnsiTheme="minorHAnsi"/>
                <w:noProof/>
                <w:kern w:val="2"/>
                <w:sz w:val="22"/>
                <w:lang w:eastAsia="en-GB"/>
                <w14:ligatures w14:val="standardContextual"/>
              </w:rPr>
              <w:tab/>
            </w:r>
            <w:r w:rsidRPr="0087519A">
              <w:rPr>
                <w:rStyle w:val="Hyperlink"/>
                <w:b/>
                <w:bCs/>
                <w:noProof/>
              </w:rPr>
              <w:t>Complaints</w:t>
            </w:r>
            <w:r>
              <w:rPr>
                <w:noProof/>
                <w:webHidden/>
              </w:rPr>
              <w:tab/>
            </w:r>
            <w:r>
              <w:rPr>
                <w:noProof/>
                <w:webHidden/>
              </w:rPr>
              <w:fldChar w:fldCharType="begin"/>
            </w:r>
            <w:r>
              <w:rPr>
                <w:noProof/>
                <w:webHidden/>
              </w:rPr>
              <w:instrText xml:space="preserve"> PAGEREF _Toc181889868 \h </w:instrText>
            </w:r>
            <w:r>
              <w:rPr>
                <w:noProof/>
                <w:webHidden/>
              </w:rPr>
            </w:r>
            <w:r>
              <w:rPr>
                <w:noProof/>
                <w:webHidden/>
              </w:rPr>
              <w:fldChar w:fldCharType="separate"/>
            </w:r>
            <w:r>
              <w:rPr>
                <w:noProof/>
                <w:webHidden/>
              </w:rPr>
              <w:t>16</w:t>
            </w:r>
            <w:r>
              <w:rPr>
                <w:noProof/>
                <w:webHidden/>
              </w:rPr>
              <w:fldChar w:fldCharType="end"/>
            </w:r>
          </w:hyperlink>
        </w:p>
        <w:p w14:paraId="443D291F" w14:textId="4429FF5B" w:rsidR="00173D09" w:rsidRDefault="00173D09">
          <w:pPr>
            <w:pStyle w:val="TOC1"/>
            <w:tabs>
              <w:tab w:val="left" w:pos="440"/>
              <w:tab w:val="right" w:leader="dot" w:pos="9016"/>
            </w:tabs>
            <w:rPr>
              <w:rFonts w:asciiTheme="minorHAnsi" w:eastAsiaTheme="minorEastAsia" w:hAnsiTheme="minorHAnsi"/>
              <w:noProof/>
              <w:kern w:val="2"/>
              <w:sz w:val="22"/>
              <w:lang w:eastAsia="en-GB"/>
              <w14:ligatures w14:val="standardContextual"/>
            </w:rPr>
          </w:pPr>
          <w:hyperlink w:anchor="_Toc181889869" w:history="1">
            <w:r w:rsidRPr="0087519A">
              <w:rPr>
                <w:rStyle w:val="Hyperlink"/>
                <w:b/>
                <w:bCs/>
                <w:noProof/>
              </w:rPr>
              <w:t>8.</w:t>
            </w:r>
            <w:r>
              <w:rPr>
                <w:rFonts w:asciiTheme="minorHAnsi" w:eastAsiaTheme="minorEastAsia" w:hAnsiTheme="minorHAnsi"/>
                <w:noProof/>
                <w:kern w:val="2"/>
                <w:sz w:val="22"/>
                <w:lang w:eastAsia="en-GB"/>
                <w14:ligatures w14:val="standardContextual"/>
              </w:rPr>
              <w:tab/>
            </w:r>
            <w:r w:rsidRPr="0087519A">
              <w:rPr>
                <w:rStyle w:val="Hyperlink"/>
                <w:b/>
                <w:bCs/>
                <w:noProof/>
              </w:rPr>
              <w:t>Useful links</w:t>
            </w:r>
            <w:r>
              <w:rPr>
                <w:noProof/>
                <w:webHidden/>
              </w:rPr>
              <w:tab/>
            </w:r>
            <w:r>
              <w:rPr>
                <w:noProof/>
                <w:webHidden/>
              </w:rPr>
              <w:fldChar w:fldCharType="begin"/>
            </w:r>
            <w:r>
              <w:rPr>
                <w:noProof/>
                <w:webHidden/>
              </w:rPr>
              <w:instrText xml:space="preserve"> PAGEREF _Toc181889869 \h </w:instrText>
            </w:r>
            <w:r>
              <w:rPr>
                <w:noProof/>
                <w:webHidden/>
              </w:rPr>
            </w:r>
            <w:r>
              <w:rPr>
                <w:noProof/>
                <w:webHidden/>
              </w:rPr>
              <w:fldChar w:fldCharType="separate"/>
            </w:r>
            <w:r>
              <w:rPr>
                <w:noProof/>
                <w:webHidden/>
              </w:rPr>
              <w:t>17</w:t>
            </w:r>
            <w:r>
              <w:rPr>
                <w:noProof/>
                <w:webHidden/>
              </w:rPr>
              <w:fldChar w:fldCharType="end"/>
            </w:r>
          </w:hyperlink>
        </w:p>
        <w:p w14:paraId="795F6B84" w14:textId="6130B587" w:rsidR="00173D09" w:rsidRDefault="00173D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81889870" w:history="1">
            <w:r w:rsidRPr="0087519A">
              <w:rPr>
                <w:rStyle w:val="Hyperlink"/>
                <w:noProof/>
              </w:rPr>
              <w:t>Resources and support</w:t>
            </w:r>
            <w:r>
              <w:rPr>
                <w:noProof/>
                <w:webHidden/>
              </w:rPr>
              <w:tab/>
            </w:r>
            <w:r>
              <w:rPr>
                <w:noProof/>
                <w:webHidden/>
              </w:rPr>
              <w:fldChar w:fldCharType="begin"/>
            </w:r>
            <w:r>
              <w:rPr>
                <w:noProof/>
                <w:webHidden/>
              </w:rPr>
              <w:instrText xml:space="preserve"> PAGEREF _Toc181889870 \h </w:instrText>
            </w:r>
            <w:r>
              <w:rPr>
                <w:noProof/>
                <w:webHidden/>
              </w:rPr>
            </w:r>
            <w:r>
              <w:rPr>
                <w:noProof/>
                <w:webHidden/>
              </w:rPr>
              <w:fldChar w:fldCharType="separate"/>
            </w:r>
            <w:r>
              <w:rPr>
                <w:noProof/>
                <w:webHidden/>
              </w:rPr>
              <w:t>17</w:t>
            </w:r>
            <w:r>
              <w:rPr>
                <w:noProof/>
                <w:webHidden/>
              </w:rPr>
              <w:fldChar w:fldCharType="end"/>
            </w:r>
          </w:hyperlink>
        </w:p>
        <w:p w14:paraId="5CAC9E50" w14:textId="704BFB9A" w:rsidR="00173D09" w:rsidRDefault="00173D09">
          <w:pPr>
            <w:pStyle w:val="TOC2"/>
            <w:tabs>
              <w:tab w:val="right" w:leader="dot" w:pos="9016"/>
            </w:tabs>
            <w:rPr>
              <w:rFonts w:asciiTheme="minorHAnsi" w:eastAsiaTheme="minorEastAsia" w:hAnsiTheme="minorHAnsi"/>
              <w:noProof/>
              <w:kern w:val="2"/>
              <w:sz w:val="22"/>
              <w:lang w:eastAsia="en-GB"/>
              <w14:ligatures w14:val="standardContextual"/>
            </w:rPr>
          </w:pPr>
          <w:hyperlink w:anchor="_Toc181889871" w:history="1">
            <w:r w:rsidRPr="0087519A">
              <w:rPr>
                <w:rStyle w:val="Hyperlink"/>
                <w:noProof/>
              </w:rPr>
              <w:t>References</w:t>
            </w:r>
            <w:r>
              <w:rPr>
                <w:noProof/>
                <w:webHidden/>
              </w:rPr>
              <w:tab/>
            </w:r>
            <w:r>
              <w:rPr>
                <w:noProof/>
                <w:webHidden/>
              </w:rPr>
              <w:fldChar w:fldCharType="begin"/>
            </w:r>
            <w:r>
              <w:rPr>
                <w:noProof/>
                <w:webHidden/>
              </w:rPr>
              <w:instrText xml:space="preserve"> PAGEREF _Toc181889871 \h </w:instrText>
            </w:r>
            <w:r>
              <w:rPr>
                <w:noProof/>
                <w:webHidden/>
              </w:rPr>
            </w:r>
            <w:r>
              <w:rPr>
                <w:noProof/>
                <w:webHidden/>
              </w:rPr>
              <w:fldChar w:fldCharType="separate"/>
            </w:r>
            <w:r>
              <w:rPr>
                <w:noProof/>
                <w:webHidden/>
              </w:rPr>
              <w:t>18</w:t>
            </w:r>
            <w:r>
              <w:rPr>
                <w:noProof/>
                <w:webHidden/>
              </w:rPr>
              <w:fldChar w:fldCharType="end"/>
            </w:r>
          </w:hyperlink>
        </w:p>
        <w:p w14:paraId="4DA4C3CE" w14:textId="65424A89" w:rsidR="000C5726" w:rsidRPr="00412994" w:rsidRDefault="000C5726" w:rsidP="00C219AF">
          <w:pPr>
            <w:spacing w:after="0" w:line="240" w:lineRule="auto"/>
            <w:jc w:val="both"/>
            <w:rPr>
              <w:rFonts w:cs="Arial"/>
            </w:rPr>
          </w:pPr>
          <w:r w:rsidRPr="00412994">
            <w:rPr>
              <w:rFonts w:cs="Arial"/>
              <w:b/>
              <w:bCs/>
            </w:rPr>
            <w:fldChar w:fldCharType="end"/>
          </w:r>
        </w:p>
      </w:sdtContent>
    </w:sdt>
    <w:p w14:paraId="6FD1C8B4" w14:textId="77777777" w:rsidR="00412994" w:rsidRPr="00412994" w:rsidRDefault="00412994" w:rsidP="00C219AF">
      <w:pPr>
        <w:pStyle w:val="Heading1"/>
        <w:numPr>
          <w:ilvl w:val="0"/>
          <w:numId w:val="0"/>
        </w:numPr>
        <w:spacing w:line="240" w:lineRule="auto"/>
        <w:jc w:val="both"/>
      </w:pPr>
    </w:p>
    <w:p w14:paraId="47656AEF" w14:textId="77777777" w:rsidR="00412994" w:rsidRPr="00412994" w:rsidRDefault="00412994" w:rsidP="00C219AF">
      <w:pPr>
        <w:spacing w:after="0" w:line="240" w:lineRule="auto"/>
        <w:jc w:val="both"/>
        <w:rPr>
          <w:rFonts w:cs="Arial"/>
        </w:rPr>
      </w:pPr>
    </w:p>
    <w:p w14:paraId="3A98D46B" w14:textId="77777777" w:rsidR="00412994" w:rsidRPr="00412994" w:rsidRDefault="00412994" w:rsidP="00C219AF">
      <w:pPr>
        <w:spacing w:after="0" w:line="240" w:lineRule="auto"/>
        <w:jc w:val="both"/>
        <w:rPr>
          <w:rFonts w:cs="Arial"/>
        </w:rPr>
      </w:pPr>
    </w:p>
    <w:p w14:paraId="41D6F8BA" w14:textId="77777777" w:rsidR="00412994" w:rsidRPr="00412994" w:rsidRDefault="00412994" w:rsidP="00C219AF">
      <w:pPr>
        <w:spacing w:after="0" w:line="240" w:lineRule="auto"/>
        <w:jc w:val="both"/>
        <w:rPr>
          <w:rFonts w:cs="Arial"/>
        </w:rPr>
      </w:pPr>
    </w:p>
    <w:p w14:paraId="740A91A2" w14:textId="77777777" w:rsidR="00412994" w:rsidRPr="00412994" w:rsidRDefault="00412994" w:rsidP="00C219AF">
      <w:pPr>
        <w:spacing w:after="0" w:line="240" w:lineRule="auto"/>
        <w:jc w:val="both"/>
        <w:rPr>
          <w:rFonts w:cs="Arial"/>
        </w:rPr>
      </w:pPr>
    </w:p>
    <w:p w14:paraId="14D378FF" w14:textId="77777777" w:rsidR="00412994" w:rsidRPr="00412994" w:rsidRDefault="00412994" w:rsidP="00C219AF">
      <w:pPr>
        <w:spacing w:after="0" w:line="240" w:lineRule="auto"/>
        <w:jc w:val="both"/>
        <w:rPr>
          <w:rFonts w:cs="Arial"/>
        </w:rPr>
      </w:pPr>
    </w:p>
    <w:p w14:paraId="17573CC4" w14:textId="77777777" w:rsidR="00C219AF" w:rsidRDefault="00C219AF" w:rsidP="00C219AF">
      <w:pPr>
        <w:spacing w:after="0" w:line="240" w:lineRule="auto"/>
        <w:jc w:val="both"/>
        <w:rPr>
          <w:rFonts w:eastAsiaTheme="majorEastAsia" w:cs="Arial"/>
          <w:color w:val="00C0B5"/>
          <w:sz w:val="32"/>
          <w:szCs w:val="32"/>
        </w:rPr>
      </w:pPr>
      <w:r>
        <w:br w:type="page"/>
      </w:r>
    </w:p>
    <w:p w14:paraId="3FE531EE" w14:textId="322D8515" w:rsidR="00DD74FE" w:rsidRPr="00173D09" w:rsidRDefault="00CE52B8" w:rsidP="00C219AF">
      <w:pPr>
        <w:pStyle w:val="Heading1"/>
        <w:spacing w:line="240" w:lineRule="auto"/>
        <w:jc w:val="both"/>
        <w:rPr>
          <w:b/>
          <w:bCs/>
        </w:rPr>
      </w:pPr>
      <w:bookmarkStart w:id="1" w:name="_Toc181889849"/>
      <w:r w:rsidRPr="00173D09">
        <w:rPr>
          <w:b/>
          <w:bCs/>
        </w:rPr>
        <w:lastRenderedPageBreak/>
        <w:t xml:space="preserve">What </w:t>
      </w:r>
      <w:r w:rsidR="00A91371" w:rsidRPr="00173D09">
        <w:rPr>
          <w:b/>
          <w:bCs/>
        </w:rPr>
        <w:t>i</w:t>
      </w:r>
      <w:r w:rsidRPr="00173D09">
        <w:rPr>
          <w:b/>
          <w:bCs/>
        </w:rPr>
        <w:t>s harassment?</w:t>
      </w:r>
      <w:bookmarkEnd w:id="1"/>
    </w:p>
    <w:p w14:paraId="4827864B" w14:textId="77777777" w:rsidR="00EE7BB6" w:rsidRPr="00412994" w:rsidRDefault="00EE7BB6" w:rsidP="00C219AF">
      <w:pPr>
        <w:spacing w:after="0" w:line="240" w:lineRule="auto"/>
        <w:jc w:val="both"/>
        <w:rPr>
          <w:rFonts w:cs="Arial"/>
        </w:rPr>
      </w:pPr>
    </w:p>
    <w:p w14:paraId="670888FE" w14:textId="77777777" w:rsidR="00EE7BB6" w:rsidRPr="00412994" w:rsidRDefault="00EE7BB6" w:rsidP="00C219AF">
      <w:pPr>
        <w:spacing w:after="0" w:line="240" w:lineRule="auto"/>
        <w:jc w:val="both"/>
        <w:rPr>
          <w:rFonts w:cs="Arial"/>
        </w:rPr>
      </w:pPr>
      <w:r w:rsidRPr="00412994">
        <w:rPr>
          <w:rFonts w:cs="Arial"/>
        </w:rPr>
        <w:t xml:space="preserve">Harassment encompasses a broad range of behaviours that are offensive in nature and can make someone feel scared, distressed, or threatened. It includes actions like bullying, sending abusive messages, unwanted visits, and cyberstalking, and can occur in various settings such as workplaces, schools, or online, perpetrated by someone known to the victim or a stranger. </w:t>
      </w:r>
    </w:p>
    <w:p w14:paraId="45D4C7E0" w14:textId="77777777" w:rsidR="00EE7BB6" w:rsidRPr="00412994" w:rsidRDefault="00EE7BB6" w:rsidP="00C219AF">
      <w:pPr>
        <w:spacing w:after="0" w:line="240" w:lineRule="auto"/>
        <w:jc w:val="both"/>
        <w:rPr>
          <w:rFonts w:cs="Arial"/>
        </w:rPr>
      </w:pPr>
      <w:r w:rsidRPr="00412994">
        <w:rPr>
          <w:rFonts w:cs="Arial"/>
        </w:rPr>
        <w:t xml:space="preserve">Under Section 26 of the Equality Act 2010, Harassment is defined as unwanted conduct that has the purpose or effect of violating a person’s dignity or creating an intimidating, hostile, degrading, humiliating, or offensive environment. The unwanted conduct can be of a sexual nature or related to gender reassignment or sex. </w:t>
      </w:r>
    </w:p>
    <w:p w14:paraId="1927B45C" w14:textId="77777777" w:rsidR="00C219AF" w:rsidRDefault="00C219AF" w:rsidP="00C219AF">
      <w:pPr>
        <w:spacing w:after="0" w:line="240" w:lineRule="auto"/>
        <w:jc w:val="both"/>
        <w:rPr>
          <w:rFonts w:cs="Arial"/>
        </w:rPr>
      </w:pPr>
    </w:p>
    <w:p w14:paraId="53FAD786" w14:textId="11EF01E0" w:rsidR="00EE7BB6" w:rsidRPr="00412994" w:rsidRDefault="00EE7BB6" w:rsidP="00C219AF">
      <w:pPr>
        <w:spacing w:after="0" w:line="240" w:lineRule="auto"/>
        <w:jc w:val="both"/>
        <w:rPr>
          <w:rFonts w:cs="Arial"/>
        </w:rPr>
      </w:pPr>
      <w:r w:rsidRPr="00412994">
        <w:rPr>
          <w:rFonts w:cs="Arial"/>
        </w:rPr>
        <w:t xml:space="preserve">This conduct is also considered harassment if it results in less favourable treatment due to the person’s rejection or submission to the conduct. </w:t>
      </w:r>
    </w:p>
    <w:p w14:paraId="4206BE08" w14:textId="77777777" w:rsidR="00C219AF" w:rsidRDefault="00C219AF" w:rsidP="00C219AF">
      <w:pPr>
        <w:spacing w:after="0" w:line="240" w:lineRule="auto"/>
        <w:jc w:val="both"/>
        <w:rPr>
          <w:rFonts w:cs="Arial"/>
        </w:rPr>
      </w:pPr>
    </w:p>
    <w:p w14:paraId="5EC44B08" w14:textId="233EF9ED" w:rsidR="00EE7BB6" w:rsidRPr="00412994" w:rsidRDefault="00EE7BB6" w:rsidP="00C219AF">
      <w:pPr>
        <w:spacing w:after="0" w:line="240" w:lineRule="auto"/>
        <w:jc w:val="both"/>
        <w:rPr>
          <w:rFonts w:cs="Arial"/>
        </w:rPr>
      </w:pPr>
      <w:r w:rsidRPr="00412994">
        <w:rPr>
          <w:rFonts w:cs="Arial"/>
        </w:rPr>
        <w:t>Harassment is unlawful when related to a protected characteristic. The relevant protected characteristics are:</w:t>
      </w:r>
    </w:p>
    <w:p w14:paraId="2B7F5749"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Age</w:t>
      </w:r>
    </w:p>
    <w:p w14:paraId="4F445C24"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Disability</w:t>
      </w:r>
    </w:p>
    <w:p w14:paraId="0C8FBC01"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Gender reassignment</w:t>
      </w:r>
    </w:p>
    <w:p w14:paraId="012C2D90"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Race</w:t>
      </w:r>
    </w:p>
    <w:p w14:paraId="16DC8D76"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Religion or belief</w:t>
      </w:r>
    </w:p>
    <w:p w14:paraId="262B986C"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 xml:space="preserve">Sexual orientation </w:t>
      </w:r>
    </w:p>
    <w:p w14:paraId="7183412F" w14:textId="77777777" w:rsidR="00EE7BB6" w:rsidRPr="00412994" w:rsidRDefault="00EE7BB6" w:rsidP="00C219AF">
      <w:pPr>
        <w:pStyle w:val="ListParagraph"/>
        <w:numPr>
          <w:ilvl w:val="0"/>
          <w:numId w:val="26"/>
        </w:numPr>
        <w:spacing w:after="0" w:line="240" w:lineRule="auto"/>
        <w:jc w:val="both"/>
        <w:rPr>
          <w:rFonts w:cs="Arial"/>
          <w:color w:val="111111"/>
          <w:shd w:val="clear" w:color="auto" w:fill="FFFFFF"/>
        </w:rPr>
      </w:pPr>
      <w:r w:rsidRPr="00412994">
        <w:rPr>
          <w:rFonts w:cs="Arial"/>
          <w:color w:val="111111"/>
          <w:shd w:val="clear" w:color="auto" w:fill="FFFFFF"/>
        </w:rPr>
        <w:t>Sex</w:t>
      </w:r>
    </w:p>
    <w:p w14:paraId="305A43FD" w14:textId="77777777" w:rsidR="00C219AF" w:rsidRDefault="00C219AF" w:rsidP="00C219AF">
      <w:pPr>
        <w:spacing w:after="0" w:line="240" w:lineRule="auto"/>
        <w:jc w:val="both"/>
        <w:rPr>
          <w:rFonts w:cs="Arial"/>
          <w:color w:val="000000" w:themeColor="text1"/>
        </w:rPr>
      </w:pPr>
    </w:p>
    <w:p w14:paraId="7F97C6C6" w14:textId="6D42A253" w:rsidR="00EE7BB6" w:rsidRPr="00412994" w:rsidRDefault="00EE7BB6" w:rsidP="00C219AF">
      <w:pPr>
        <w:spacing w:after="0" w:line="240" w:lineRule="auto"/>
        <w:jc w:val="both"/>
        <w:rPr>
          <w:rFonts w:cs="Arial"/>
        </w:rPr>
      </w:pPr>
      <w:r w:rsidRPr="00412994">
        <w:rPr>
          <w:rFonts w:cs="Arial"/>
          <w:color w:val="000000" w:themeColor="text1"/>
        </w:rPr>
        <w:t xml:space="preserve">Two protected characteristics which are not protected under Section 26 of the Equality Act 2010 are </w:t>
      </w:r>
      <w:r w:rsidRPr="00412994">
        <w:rPr>
          <w:rFonts w:cs="Arial"/>
        </w:rPr>
        <w:t xml:space="preserve">marriage and civil partnerships, and pregnancy and maternity. </w:t>
      </w:r>
    </w:p>
    <w:p w14:paraId="5505909A" w14:textId="0686006B" w:rsidR="00EE7BB6" w:rsidRPr="00412994" w:rsidRDefault="00EE7BB6" w:rsidP="00C219AF">
      <w:pPr>
        <w:spacing w:after="0" w:line="240" w:lineRule="auto"/>
        <w:jc w:val="both"/>
        <w:rPr>
          <w:rFonts w:cs="Arial"/>
        </w:rPr>
      </w:pPr>
      <w:r w:rsidRPr="00412994">
        <w:rPr>
          <w:rFonts w:cs="Arial"/>
        </w:rPr>
        <w:t>The law protects applicants, ex-employees, employees, and workers. It is crucial for employers to manage complaints consistently and fairly.</w:t>
      </w:r>
    </w:p>
    <w:p w14:paraId="6E1225E5" w14:textId="2373FC97" w:rsidR="00C565FC" w:rsidRPr="00412994" w:rsidRDefault="00C565FC" w:rsidP="00C219AF">
      <w:pPr>
        <w:spacing w:after="0" w:line="240" w:lineRule="auto"/>
        <w:jc w:val="both"/>
        <w:rPr>
          <w:rFonts w:cs="Arial"/>
        </w:rPr>
      </w:pPr>
    </w:p>
    <w:p w14:paraId="4BDBB3BF" w14:textId="77777777" w:rsidR="006967C3" w:rsidRPr="00412994" w:rsidRDefault="006967C3" w:rsidP="00C219AF">
      <w:pPr>
        <w:spacing w:after="0" w:line="240" w:lineRule="auto"/>
        <w:jc w:val="both"/>
        <w:rPr>
          <w:rFonts w:cs="Arial"/>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76"/>
      </w:tblGrid>
      <w:tr w:rsidR="000C5726" w:rsidRPr="00412994" w14:paraId="16EB914C" w14:textId="77777777" w:rsidTr="00C219AF">
        <w:tc>
          <w:tcPr>
            <w:tcW w:w="8976" w:type="dxa"/>
            <w:tcBorders>
              <w:top w:val="triple" w:sz="4" w:space="0" w:color="auto"/>
              <w:left w:val="triple" w:sz="4" w:space="0" w:color="auto"/>
              <w:bottom w:val="triple" w:sz="4" w:space="0" w:color="auto"/>
              <w:right w:val="triple" w:sz="4" w:space="0" w:color="auto"/>
            </w:tcBorders>
          </w:tcPr>
          <w:p w14:paraId="643C7E25" w14:textId="21EC3657" w:rsidR="007A136B" w:rsidRPr="00412994" w:rsidRDefault="00EE7BB6" w:rsidP="00C219AF">
            <w:pPr>
              <w:jc w:val="both"/>
              <w:rPr>
                <w:rFonts w:cs="Arial"/>
                <w:b/>
                <w:bCs/>
                <w:i/>
                <w:iCs/>
                <w:color w:val="000000" w:themeColor="text1"/>
                <w:u w:val="single"/>
              </w:rPr>
            </w:pPr>
            <w:r w:rsidRPr="00412994">
              <w:rPr>
                <w:rFonts w:cs="Arial"/>
                <w:b/>
                <w:bCs/>
                <w:i/>
                <w:iCs/>
                <w:color w:val="000000" w:themeColor="text1"/>
                <w:u w:val="single"/>
              </w:rPr>
              <w:t>Legal Definition of harassment</w:t>
            </w:r>
          </w:p>
          <w:p w14:paraId="1EB22C5D" w14:textId="0ABBDDE6" w:rsidR="000C5726" w:rsidRPr="00412994" w:rsidRDefault="000C5726" w:rsidP="00C219AF">
            <w:pPr>
              <w:jc w:val="both"/>
              <w:rPr>
                <w:rFonts w:cs="Arial"/>
                <w:b/>
                <w:bCs/>
                <w:color w:val="000000" w:themeColor="text1"/>
              </w:rPr>
            </w:pPr>
            <w:r w:rsidRPr="00412994">
              <w:rPr>
                <w:rFonts w:cs="Arial"/>
                <w:b/>
                <w:bCs/>
                <w:color w:val="000000" w:themeColor="text1"/>
              </w:rPr>
              <w:t>The Equality Act 2010</w:t>
            </w:r>
          </w:p>
          <w:p w14:paraId="345CB5AA" w14:textId="17469B2D" w:rsidR="000C5726" w:rsidRPr="00412994" w:rsidRDefault="007A136B" w:rsidP="00C219AF">
            <w:pPr>
              <w:jc w:val="both"/>
              <w:rPr>
                <w:rFonts w:cs="Arial"/>
                <w:b/>
                <w:bCs/>
                <w:color w:val="000000" w:themeColor="text1"/>
              </w:rPr>
            </w:pPr>
            <w:r w:rsidRPr="00412994">
              <w:rPr>
                <w:rFonts w:cs="Arial"/>
                <w:b/>
                <w:bCs/>
                <w:color w:val="000000" w:themeColor="text1"/>
              </w:rPr>
              <w:t>S</w:t>
            </w:r>
            <w:r w:rsidRPr="00412994">
              <w:rPr>
                <w:rFonts w:cs="Arial"/>
                <w:b/>
                <w:bCs/>
              </w:rPr>
              <w:t xml:space="preserve">ection </w:t>
            </w:r>
            <w:r w:rsidR="000C5726" w:rsidRPr="00412994">
              <w:rPr>
                <w:rFonts w:cs="Arial"/>
                <w:b/>
                <w:bCs/>
                <w:color w:val="000000" w:themeColor="text1"/>
              </w:rPr>
              <w:t xml:space="preserve">26 </w:t>
            </w:r>
          </w:p>
          <w:p w14:paraId="63B21857" w14:textId="77777777" w:rsidR="00C565FC" w:rsidRPr="00412994" w:rsidRDefault="00C565FC" w:rsidP="00C219AF">
            <w:pPr>
              <w:numPr>
                <w:ilvl w:val="0"/>
                <w:numId w:val="5"/>
              </w:numPr>
              <w:jc w:val="both"/>
              <w:rPr>
                <w:rFonts w:cs="Arial"/>
                <w:color w:val="000000" w:themeColor="text1"/>
              </w:rPr>
            </w:pPr>
            <w:r w:rsidRPr="00412994">
              <w:rPr>
                <w:rFonts w:cs="Arial"/>
                <w:color w:val="000000" w:themeColor="text1"/>
              </w:rPr>
              <w:t>A person (A) harasses another (B) if—</w:t>
            </w:r>
          </w:p>
          <w:p w14:paraId="425CBCCA"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A engages in unwanted conduct related to a relevant protected characteristic, and</w:t>
            </w:r>
          </w:p>
          <w:p w14:paraId="7AC35C88"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the conduct has the purpose or effect of—</w:t>
            </w:r>
          </w:p>
          <w:p w14:paraId="33C1D4BA" w14:textId="77777777" w:rsidR="00C565FC" w:rsidRPr="00412994" w:rsidRDefault="00C565FC" w:rsidP="00C219AF">
            <w:pPr>
              <w:numPr>
                <w:ilvl w:val="2"/>
                <w:numId w:val="5"/>
              </w:numPr>
              <w:jc w:val="both"/>
              <w:rPr>
                <w:rFonts w:cs="Arial"/>
                <w:color w:val="000000" w:themeColor="text1"/>
              </w:rPr>
            </w:pPr>
            <w:r w:rsidRPr="00412994">
              <w:rPr>
                <w:rFonts w:cs="Arial"/>
                <w:color w:val="000000" w:themeColor="text1"/>
              </w:rPr>
              <w:t>violating B's dignity, or</w:t>
            </w:r>
          </w:p>
          <w:p w14:paraId="2E0ABF36" w14:textId="77777777" w:rsidR="00C565FC" w:rsidRPr="00412994" w:rsidRDefault="00C565FC" w:rsidP="00C219AF">
            <w:pPr>
              <w:numPr>
                <w:ilvl w:val="2"/>
                <w:numId w:val="5"/>
              </w:numPr>
              <w:jc w:val="both"/>
              <w:rPr>
                <w:rFonts w:cs="Arial"/>
                <w:color w:val="000000" w:themeColor="text1"/>
              </w:rPr>
            </w:pPr>
            <w:r w:rsidRPr="00412994">
              <w:rPr>
                <w:rFonts w:cs="Arial"/>
                <w:color w:val="000000" w:themeColor="text1"/>
              </w:rPr>
              <w:t>creating an intimidating, hostile, degrading, humiliating or offensive environment for B.</w:t>
            </w:r>
          </w:p>
          <w:p w14:paraId="6D5633B6" w14:textId="77777777" w:rsidR="00C565FC" w:rsidRPr="00412994" w:rsidRDefault="00C565FC" w:rsidP="00C219AF">
            <w:pPr>
              <w:numPr>
                <w:ilvl w:val="0"/>
                <w:numId w:val="5"/>
              </w:numPr>
              <w:jc w:val="both"/>
              <w:rPr>
                <w:rFonts w:cs="Arial"/>
                <w:color w:val="000000" w:themeColor="text1"/>
              </w:rPr>
            </w:pPr>
            <w:proofErr w:type="gramStart"/>
            <w:r w:rsidRPr="00412994">
              <w:rPr>
                <w:rFonts w:cs="Arial"/>
                <w:color w:val="000000" w:themeColor="text1"/>
              </w:rPr>
              <w:t>A</w:t>
            </w:r>
            <w:proofErr w:type="gramEnd"/>
            <w:r w:rsidRPr="00412994">
              <w:rPr>
                <w:rFonts w:cs="Arial"/>
                <w:color w:val="000000" w:themeColor="text1"/>
              </w:rPr>
              <w:t xml:space="preserve"> also harasses B if—</w:t>
            </w:r>
          </w:p>
          <w:p w14:paraId="1F0AB6B2"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A engages in unwanted conduct of a sexual nature, and</w:t>
            </w:r>
          </w:p>
          <w:p w14:paraId="790F7B97"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the conduct has the purpose or effect referred to in subsection (1)(b).</w:t>
            </w:r>
          </w:p>
          <w:p w14:paraId="62054125" w14:textId="77777777" w:rsidR="00C565FC" w:rsidRPr="00412994" w:rsidRDefault="00C565FC" w:rsidP="00C219AF">
            <w:pPr>
              <w:numPr>
                <w:ilvl w:val="0"/>
                <w:numId w:val="5"/>
              </w:numPr>
              <w:jc w:val="both"/>
              <w:rPr>
                <w:rFonts w:cs="Arial"/>
                <w:color w:val="000000" w:themeColor="text1"/>
              </w:rPr>
            </w:pPr>
            <w:proofErr w:type="gramStart"/>
            <w:r w:rsidRPr="00412994">
              <w:rPr>
                <w:rFonts w:cs="Arial"/>
                <w:color w:val="000000" w:themeColor="text1"/>
              </w:rPr>
              <w:t>A</w:t>
            </w:r>
            <w:proofErr w:type="gramEnd"/>
            <w:r w:rsidRPr="00412994">
              <w:rPr>
                <w:rFonts w:cs="Arial"/>
                <w:color w:val="000000" w:themeColor="text1"/>
              </w:rPr>
              <w:t xml:space="preserve"> also harasses B if—</w:t>
            </w:r>
          </w:p>
          <w:p w14:paraId="7EA11ADA" w14:textId="77777777" w:rsidR="00C565FC" w:rsidRPr="00412994" w:rsidRDefault="00C565FC" w:rsidP="00C219AF">
            <w:pPr>
              <w:numPr>
                <w:ilvl w:val="1"/>
                <w:numId w:val="5"/>
              </w:numPr>
              <w:jc w:val="both"/>
              <w:rPr>
                <w:rFonts w:cs="Arial"/>
                <w:color w:val="000000" w:themeColor="text1"/>
              </w:rPr>
            </w:pPr>
            <w:proofErr w:type="gramStart"/>
            <w:r w:rsidRPr="00412994">
              <w:rPr>
                <w:rFonts w:cs="Arial"/>
                <w:color w:val="000000" w:themeColor="text1"/>
              </w:rPr>
              <w:t>A or</w:t>
            </w:r>
            <w:proofErr w:type="gramEnd"/>
            <w:r w:rsidRPr="00412994">
              <w:rPr>
                <w:rFonts w:cs="Arial"/>
                <w:color w:val="000000" w:themeColor="text1"/>
              </w:rPr>
              <w:t xml:space="preserve"> another person engages in unwanted conduct of a sexual nature or that is related to gender reassignment or sex,</w:t>
            </w:r>
          </w:p>
          <w:p w14:paraId="05902B6A"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the conduct has the purpose or effect referred to in subsection (1)(b), and</w:t>
            </w:r>
          </w:p>
          <w:p w14:paraId="06DE2BB2"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lastRenderedPageBreak/>
              <w:t>because of B's rejection of or submission to the conduct, A treats B less favourably than A would treat B if B had not rejected or submitted to the conduct.</w:t>
            </w:r>
          </w:p>
          <w:p w14:paraId="143F0942" w14:textId="77777777" w:rsidR="00C565FC" w:rsidRPr="00412994" w:rsidRDefault="00C565FC" w:rsidP="00C219AF">
            <w:pPr>
              <w:numPr>
                <w:ilvl w:val="0"/>
                <w:numId w:val="5"/>
              </w:numPr>
              <w:jc w:val="both"/>
              <w:rPr>
                <w:rFonts w:cs="Arial"/>
                <w:color w:val="000000" w:themeColor="text1"/>
              </w:rPr>
            </w:pPr>
            <w:r w:rsidRPr="00412994">
              <w:rPr>
                <w:rFonts w:cs="Arial"/>
                <w:color w:val="000000" w:themeColor="text1"/>
              </w:rPr>
              <w:t>In deciding whether conduct has the effect referred to in subsection (1)(b), each of the following must be taken into account—</w:t>
            </w:r>
          </w:p>
          <w:p w14:paraId="5152E84A" w14:textId="77777777" w:rsidR="00C565FC" w:rsidRPr="00412994" w:rsidRDefault="00C565FC" w:rsidP="00C219AF">
            <w:pPr>
              <w:numPr>
                <w:ilvl w:val="1"/>
                <w:numId w:val="5"/>
              </w:numPr>
              <w:jc w:val="both"/>
              <w:rPr>
                <w:rFonts w:cs="Arial"/>
                <w:color w:val="000000" w:themeColor="text1"/>
              </w:rPr>
            </w:pPr>
            <w:r w:rsidRPr="00412994">
              <w:rPr>
                <w:rFonts w:cs="Arial"/>
                <w:color w:val="000000" w:themeColor="text1"/>
              </w:rPr>
              <w:t xml:space="preserve">the perception of </w:t>
            </w:r>
            <w:proofErr w:type="gramStart"/>
            <w:r w:rsidRPr="00412994">
              <w:rPr>
                <w:rFonts w:cs="Arial"/>
                <w:color w:val="000000" w:themeColor="text1"/>
              </w:rPr>
              <w:t>B;</w:t>
            </w:r>
            <w:proofErr w:type="gramEnd"/>
          </w:p>
          <w:p w14:paraId="74A64B60" w14:textId="77777777" w:rsidR="000C5726" w:rsidRPr="00412994" w:rsidRDefault="00C565FC" w:rsidP="00C219AF">
            <w:pPr>
              <w:numPr>
                <w:ilvl w:val="1"/>
                <w:numId w:val="5"/>
              </w:numPr>
              <w:jc w:val="both"/>
              <w:rPr>
                <w:rFonts w:cs="Arial"/>
                <w:color w:val="000000" w:themeColor="text1"/>
              </w:rPr>
            </w:pPr>
            <w:r w:rsidRPr="00412994">
              <w:rPr>
                <w:rFonts w:cs="Arial"/>
                <w:color w:val="000000" w:themeColor="text1"/>
              </w:rPr>
              <w:t xml:space="preserve">the other circumstances of the </w:t>
            </w:r>
            <w:proofErr w:type="gramStart"/>
            <w:r w:rsidRPr="00412994">
              <w:rPr>
                <w:rFonts w:cs="Arial"/>
                <w:color w:val="000000" w:themeColor="text1"/>
              </w:rPr>
              <w:t>case;</w:t>
            </w:r>
            <w:proofErr w:type="gramEnd"/>
          </w:p>
          <w:p w14:paraId="2AA6A2AE" w14:textId="77777777" w:rsidR="000C5726" w:rsidRPr="00412994" w:rsidRDefault="000C5726" w:rsidP="00C219AF">
            <w:pPr>
              <w:numPr>
                <w:ilvl w:val="1"/>
                <w:numId w:val="5"/>
              </w:numPr>
              <w:jc w:val="both"/>
              <w:rPr>
                <w:rFonts w:cs="Arial"/>
                <w:color w:val="000000" w:themeColor="text1"/>
              </w:rPr>
            </w:pPr>
            <w:r w:rsidRPr="00412994">
              <w:rPr>
                <w:rFonts w:cs="Arial"/>
                <w:color w:val="000000" w:themeColor="text1"/>
              </w:rPr>
              <w:t>whether it is reasonable for the conduct to have that effect.</w:t>
            </w:r>
          </w:p>
          <w:p w14:paraId="55BBA9FA" w14:textId="77777777" w:rsidR="000C5726" w:rsidRPr="00412994" w:rsidRDefault="000C5726" w:rsidP="00C219AF">
            <w:pPr>
              <w:numPr>
                <w:ilvl w:val="0"/>
                <w:numId w:val="5"/>
              </w:numPr>
              <w:jc w:val="both"/>
              <w:rPr>
                <w:rFonts w:cs="Arial"/>
                <w:color w:val="000000" w:themeColor="text1"/>
              </w:rPr>
            </w:pPr>
            <w:r w:rsidRPr="00412994">
              <w:rPr>
                <w:rFonts w:cs="Arial"/>
                <w:color w:val="000000" w:themeColor="text1"/>
              </w:rPr>
              <w:t>The relevant protected characteristics are:</w:t>
            </w:r>
          </w:p>
          <w:p w14:paraId="1B74C193" w14:textId="77777777" w:rsidR="000C5726" w:rsidRPr="00412994" w:rsidRDefault="000C5726" w:rsidP="00C219AF">
            <w:pPr>
              <w:numPr>
                <w:ilvl w:val="1"/>
                <w:numId w:val="5"/>
              </w:numPr>
              <w:jc w:val="both"/>
              <w:rPr>
                <w:rFonts w:cs="Arial"/>
                <w:color w:val="000000" w:themeColor="text1"/>
              </w:rPr>
            </w:pPr>
            <w:proofErr w:type="gramStart"/>
            <w:r w:rsidRPr="00412994">
              <w:rPr>
                <w:rFonts w:cs="Arial"/>
                <w:color w:val="000000" w:themeColor="text1"/>
              </w:rPr>
              <w:t>age;</w:t>
            </w:r>
            <w:proofErr w:type="gramEnd"/>
          </w:p>
          <w:p w14:paraId="6932F180" w14:textId="77777777" w:rsidR="000C5726" w:rsidRPr="00412994" w:rsidRDefault="000C5726" w:rsidP="00C219AF">
            <w:pPr>
              <w:numPr>
                <w:ilvl w:val="1"/>
                <w:numId w:val="5"/>
              </w:numPr>
              <w:jc w:val="both"/>
              <w:rPr>
                <w:rFonts w:cs="Arial"/>
                <w:color w:val="000000" w:themeColor="text1"/>
              </w:rPr>
            </w:pPr>
            <w:proofErr w:type="gramStart"/>
            <w:r w:rsidRPr="00412994">
              <w:rPr>
                <w:rFonts w:cs="Arial"/>
                <w:color w:val="000000" w:themeColor="text1"/>
              </w:rPr>
              <w:t>disability;</w:t>
            </w:r>
            <w:proofErr w:type="gramEnd"/>
          </w:p>
          <w:p w14:paraId="6267B82E" w14:textId="77777777" w:rsidR="000C5726" w:rsidRPr="00412994" w:rsidRDefault="000C5726" w:rsidP="00C219AF">
            <w:pPr>
              <w:numPr>
                <w:ilvl w:val="1"/>
                <w:numId w:val="5"/>
              </w:numPr>
              <w:jc w:val="both"/>
              <w:rPr>
                <w:rFonts w:cs="Arial"/>
                <w:color w:val="000000" w:themeColor="text1"/>
              </w:rPr>
            </w:pPr>
            <w:r w:rsidRPr="00412994">
              <w:rPr>
                <w:rFonts w:cs="Arial"/>
                <w:color w:val="000000" w:themeColor="text1"/>
              </w:rPr>
              <w:t xml:space="preserve">gender </w:t>
            </w:r>
            <w:proofErr w:type="gramStart"/>
            <w:r w:rsidRPr="00412994">
              <w:rPr>
                <w:rFonts w:cs="Arial"/>
                <w:color w:val="000000" w:themeColor="text1"/>
              </w:rPr>
              <w:t>reassignment;</w:t>
            </w:r>
            <w:proofErr w:type="gramEnd"/>
          </w:p>
          <w:p w14:paraId="4011A024" w14:textId="77777777" w:rsidR="000C5726" w:rsidRPr="00412994" w:rsidRDefault="000C5726" w:rsidP="00C219AF">
            <w:pPr>
              <w:numPr>
                <w:ilvl w:val="1"/>
                <w:numId w:val="5"/>
              </w:numPr>
              <w:jc w:val="both"/>
              <w:rPr>
                <w:rFonts w:cs="Arial"/>
                <w:color w:val="000000" w:themeColor="text1"/>
              </w:rPr>
            </w:pPr>
            <w:proofErr w:type="gramStart"/>
            <w:r w:rsidRPr="00412994">
              <w:rPr>
                <w:rFonts w:cs="Arial"/>
                <w:color w:val="000000" w:themeColor="text1"/>
              </w:rPr>
              <w:t>race;</w:t>
            </w:r>
            <w:proofErr w:type="gramEnd"/>
          </w:p>
          <w:p w14:paraId="7F396056" w14:textId="77777777" w:rsidR="000C5726" w:rsidRPr="00412994" w:rsidRDefault="000C5726" w:rsidP="00C219AF">
            <w:pPr>
              <w:numPr>
                <w:ilvl w:val="1"/>
                <w:numId w:val="5"/>
              </w:numPr>
              <w:jc w:val="both"/>
              <w:rPr>
                <w:rFonts w:cs="Arial"/>
                <w:color w:val="000000" w:themeColor="text1"/>
              </w:rPr>
            </w:pPr>
            <w:r w:rsidRPr="00412994">
              <w:rPr>
                <w:rFonts w:cs="Arial"/>
                <w:color w:val="000000" w:themeColor="text1"/>
              </w:rPr>
              <w:t xml:space="preserve">religion or </w:t>
            </w:r>
            <w:proofErr w:type="gramStart"/>
            <w:r w:rsidRPr="00412994">
              <w:rPr>
                <w:rFonts w:cs="Arial"/>
                <w:color w:val="000000" w:themeColor="text1"/>
              </w:rPr>
              <w:t>belief;</w:t>
            </w:r>
            <w:proofErr w:type="gramEnd"/>
          </w:p>
          <w:p w14:paraId="5731CC96" w14:textId="77777777" w:rsidR="000C5726" w:rsidRPr="00412994" w:rsidRDefault="000C5726" w:rsidP="00C219AF">
            <w:pPr>
              <w:numPr>
                <w:ilvl w:val="1"/>
                <w:numId w:val="5"/>
              </w:numPr>
              <w:jc w:val="both"/>
              <w:rPr>
                <w:rFonts w:cs="Arial"/>
                <w:color w:val="000000" w:themeColor="text1"/>
              </w:rPr>
            </w:pPr>
            <w:proofErr w:type="gramStart"/>
            <w:r w:rsidRPr="00412994">
              <w:rPr>
                <w:rFonts w:cs="Arial"/>
                <w:color w:val="000000" w:themeColor="text1"/>
              </w:rPr>
              <w:t>sex;</w:t>
            </w:r>
            <w:proofErr w:type="gramEnd"/>
          </w:p>
          <w:p w14:paraId="2C826E62" w14:textId="77777777" w:rsidR="000C5726" w:rsidRPr="00412994" w:rsidRDefault="000C5726" w:rsidP="00C219AF">
            <w:pPr>
              <w:numPr>
                <w:ilvl w:val="1"/>
                <w:numId w:val="5"/>
              </w:numPr>
              <w:jc w:val="both"/>
              <w:rPr>
                <w:rFonts w:cs="Arial"/>
                <w:color w:val="000000" w:themeColor="text1"/>
              </w:rPr>
            </w:pPr>
            <w:r w:rsidRPr="00412994">
              <w:rPr>
                <w:rFonts w:cs="Arial"/>
                <w:color w:val="000000" w:themeColor="text1"/>
              </w:rPr>
              <w:t>sexual orientation</w:t>
            </w:r>
          </w:p>
          <w:p w14:paraId="440BE20B" w14:textId="77777777" w:rsidR="000C5726" w:rsidRPr="00412994" w:rsidRDefault="000C5726" w:rsidP="00C219AF">
            <w:pPr>
              <w:jc w:val="both"/>
              <w:rPr>
                <w:rFonts w:cs="Arial"/>
              </w:rPr>
            </w:pPr>
          </w:p>
        </w:tc>
      </w:tr>
    </w:tbl>
    <w:p w14:paraId="39856D25" w14:textId="77777777" w:rsidR="00C565FC" w:rsidRPr="00412994" w:rsidRDefault="00C565FC" w:rsidP="00C219AF">
      <w:pPr>
        <w:spacing w:after="0" w:line="240" w:lineRule="auto"/>
        <w:jc w:val="both"/>
        <w:rPr>
          <w:rFonts w:cs="Arial"/>
        </w:rPr>
      </w:pPr>
    </w:p>
    <w:p w14:paraId="70D47254" w14:textId="77777777" w:rsidR="00A91371" w:rsidRPr="00412994" w:rsidRDefault="00A91371" w:rsidP="00C219AF">
      <w:pPr>
        <w:spacing w:after="0" w:line="240" w:lineRule="auto"/>
        <w:jc w:val="both"/>
        <w:rPr>
          <w:rFonts w:cs="Arial"/>
        </w:rPr>
      </w:pPr>
    </w:p>
    <w:p w14:paraId="05CBE376" w14:textId="1D8ECB75" w:rsidR="00C565FC" w:rsidRPr="00173D09" w:rsidRDefault="00C219AF" w:rsidP="00173D09">
      <w:pPr>
        <w:pStyle w:val="Heading2"/>
      </w:pPr>
      <w:bookmarkStart w:id="2" w:name="_Toc181889850"/>
      <w:r w:rsidRPr="00173D09">
        <w:t>U</w:t>
      </w:r>
      <w:r w:rsidR="006967C3" w:rsidRPr="00173D09">
        <w:t>nwanted conduct</w:t>
      </w:r>
      <w:bookmarkEnd w:id="2"/>
    </w:p>
    <w:p w14:paraId="43156302" w14:textId="7C34EC23" w:rsidR="006967C3" w:rsidRPr="00412994" w:rsidRDefault="00EE7BB6" w:rsidP="00C219AF">
      <w:pPr>
        <w:spacing w:after="0" w:line="240" w:lineRule="auto"/>
        <w:jc w:val="both"/>
        <w:rPr>
          <w:rFonts w:cs="Arial"/>
          <w:color w:val="111111"/>
          <w:shd w:val="clear" w:color="auto" w:fill="FFFFFF"/>
        </w:rPr>
      </w:pPr>
      <w:r w:rsidRPr="00412994">
        <w:rPr>
          <w:rFonts w:cs="Arial"/>
          <w:color w:val="111111"/>
          <w:shd w:val="clear" w:color="auto" w:fill="FFFFFF"/>
        </w:rPr>
        <w:t>Unwanted conduct, as defined by the Equality and Human Rights Commission (EHRC) guidance, refers to behaviour that is unwelcome or uninvited.</w:t>
      </w:r>
      <w:r w:rsidR="006967C3" w:rsidRPr="00412994">
        <w:rPr>
          <w:rFonts w:cs="Arial"/>
          <w:color w:val="111111"/>
          <w:shd w:val="clear" w:color="auto" w:fill="FFFFFF"/>
        </w:rPr>
        <w:t xml:space="preserve"> Whether the conduct</w:t>
      </w:r>
      <w:r w:rsidRPr="00412994">
        <w:rPr>
          <w:rFonts w:cs="Arial"/>
          <w:color w:val="111111"/>
          <w:shd w:val="clear" w:color="auto" w:fill="FFFFFF"/>
        </w:rPr>
        <w:t xml:space="preserve"> </w:t>
      </w:r>
      <w:r w:rsidR="006967C3" w:rsidRPr="00412994">
        <w:rPr>
          <w:rFonts w:cs="Arial"/>
          <w:color w:val="111111"/>
          <w:shd w:val="clear" w:color="auto" w:fill="FFFFFF"/>
        </w:rPr>
        <w:t xml:space="preserve">is unwanted should be considered from the worker’s subjective point of view, although external factors may also be considered by a tribunal or court. </w:t>
      </w:r>
    </w:p>
    <w:p w14:paraId="45D3FB03" w14:textId="77777777" w:rsidR="006967C3" w:rsidRDefault="006967C3" w:rsidP="00C219AF">
      <w:pPr>
        <w:spacing w:after="0" w:line="240" w:lineRule="auto"/>
        <w:jc w:val="both"/>
        <w:rPr>
          <w:rFonts w:cs="Arial"/>
          <w:color w:val="111111"/>
          <w:shd w:val="clear" w:color="auto" w:fill="FFFFFF"/>
        </w:rPr>
      </w:pPr>
      <w:r w:rsidRPr="00412994">
        <w:rPr>
          <w:rFonts w:cs="Arial"/>
          <w:color w:val="111111"/>
          <w:shd w:val="clear" w:color="auto" w:fill="FFFFFF"/>
        </w:rPr>
        <w:t xml:space="preserve">The law does not require the employee to object to the conduct for it to be considered unwanted – for example, it may be that an employee feels that they have to tolerate the conduct to keep their employment. </w:t>
      </w:r>
    </w:p>
    <w:p w14:paraId="6EDEC236" w14:textId="77777777" w:rsidR="00C219AF" w:rsidRPr="00412994" w:rsidRDefault="00C219AF" w:rsidP="00C219AF">
      <w:pPr>
        <w:spacing w:after="0" w:line="240" w:lineRule="auto"/>
        <w:jc w:val="both"/>
        <w:rPr>
          <w:rFonts w:cs="Arial"/>
          <w:color w:val="111111"/>
          <w:shd w:val="clear" w:color="auto" w:fill="FFFFFF"/>
        </w:rPr>
      </w:pPr>
    </w:p>
    <w:p w14:paraId="0AC456D9" w14:textId="77777777" w:rsidR="009C2CEA" w:rsidRPr="00412994" w:rsidRDefault="009C2CEA"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b/>
          <w:bCs/>
          <w:color w:val="000000" w:themeColor="text1"/>
          <w:sz w:val="8"/>
          <w:szCs w:val="6"/>
        </w:rPr>
      </w:pPr>
    </w:p>
    <w:p w14:paraId="7AECE25F" w14:textId="0AB632B7"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b/>
          <w:bCs/>
          <w:color w:val="000000" w:themeColor="text1"/>
        </w:rPr>
      </w:pPr>
      <w:r w:rsidRPr="00412994">
        <w:rPr>
          <w:rFonts w:cs="Arial"/>
          <w:b/>
          <w:bCs/>
          <w:color w:val="000000" w:themeColor="text1"/>
        </w:rPr>
        <w:t xml:space="preserve">Example </w:t>
      </w:r>
    </w:p>
    <w:p w14:paraId="6CB558F6" w14:textId="77777777"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7030A0"/>
        </w:rPr>
      </w:pPr>
      <w:r w:rsidRPr="00412994">
        <w:rPr>
          <w:rFonts w:cs="Arial"/>
          <w:color w:val="7030A0"/>
        </w:rPr>
        <w:t>A male line manager is to interview a female worker for a promotion. The manager says that the interviewee is the favourite for the job because she is the best-looking candidate.</w:t>
      </w:r>
    </w:p>
    <w:p w14:paraId="0422B85A" w14:textId="77777777"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000000" w:themeColor="text1"/>
        </w:rPr>
      </w:pPr>
      <w:r w:rsidRPr="00412994">
        <w:rPr>
          <w:rFonts w:cs="Arial"/>
          <w:color w:val="000000" w:themeColor="text1"/>
        </w:rPr>
        <w:t>The manager’s statement is self-evidently unwanted, and the worker need not object to it for a tribunal or court to find it is unwanted.</w:t>
      </w:r>
    </w:p>
    <w:p w14:paraId="42A6A46E" w14:textId="77777777" w:rsidR="009C2CEA" w:rsidRPr="00412994" w:rsidRDefault="009C2CEA"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000000" w:themeColor="text1"/>
          <w:sz w:val="8"/>
          <w:szCs w:val="6"/>
        </w:rPr>
      </w:pPr>
    </w:p>
    <w:p w14:paraId="50DC1401" w14:textId="77777777" w:rsidR="00C219AF" w:rsidRDefault="00C219AF" w:rsidP="00C219AF">
      <w:pPr>
        <w:spacing w:after="0" w:line="240" w:lineRule="auto"/>
        <w:jc w:val="both"/>
        <w:rPr>
          <w:rFonts w:cs="Arial"/>
          <w:color w:val="111111"/>
          <w:shd w:val="clear" w:color="auto" w:fill="FFFFFF"/>
        </w:rPr>
      </w:pPr>
    </w:p>
    <w:p w14:paraId="2B786704" w14:textId="72CD8108" w:rsidR="006967C3" w:rsidRDefault="006967C3" w:rsidP="00C219AF">
      <w:pPr>
        <w:spacing w:after="0" w:line="240" w:lineRule="auto"/>
        <w:jc w:val="both"/>
        <w:rPr>
          <w:rFonts w:cs="Arial"/>
          <w:color w:val="111111"/>
          <w:shd w:val="clear" w:color="auto" w:fill="FFFFFF"/>
        </w:rPr>
      </w:pPr>
      <w:r w:rsidRPr="00412994">
        <w:rPr>
          <w:rFonts w:cs="Arial"/>
          <w:color w:val="111111"/>
          <w:shd w:val="clear" w:color="auto" w:fill="FFFFFF"/>
        </w:rPr>
        <w:t xml:space="preserve">However, whether or not the worker objected may be taken into account by the tribunal or court. </w:t>
      </w:r>
    </w:p>
    <w:p w14:paraId="41B6410B" w14:textId="77777777" w:rsidR="00C219AF" w:rsidRPr="00412994" w:rsidRDefault="00C219AF" w:rsidP="00C219AF">
      <w:pPr>
        <w:spacing w:after="0" w:line="240" w:lineRule="auto"/>
        <w:jc w:val="both"/>
        <w:rPr>
          <w:rFonts w:cs="Arial"/>
          <w:color w:val="111111"/>
          <w:shd w:val="clear" w:color="auto" w:fill="FFFFFF"/>
        </w:rPr>
      </w:pPr>
    </w:p>
    <w:p w14:paraId="53D98FCC" w14:textId="77777777" w:rsidR="009C2CEA" w:rsidRPr="00412994" w:rsidRDefault="009C2CEA"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b/>
          <w:bCs/>
          <w:color w:val="000000" w:themeColor="text1"/>
          <w:sz w:val="8"/>
          <w:szCs w:val="6"/>
        </w:rPr>
      </w:pPr>
    </w:p>
    <w:p w14:paraId="4514CBA3" w14:textId="541F67AF"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b/>
          <w:bCs/>
          <w:color w:val="000000" w:themeColor="text1"/>
        </w:rPr>
      </w:pPr>
      <w:r w:rsidRPr="00412994">
        <w:rPr>
          <w:rFonts w:cs="Arial"/>
          <w:b/>
          <w:bCs/>
          <w:color w:val="000000" w:themeColor="text1"/>
        </w:rPr>
        <w:t xml:space="preserve">Example </w:t>
      </w:r>
    </w:p>
    <w:p w14:paraId="49D5009F" w14:textId="77777777"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7030A0"/>
        </w:rPr>
      </w:pPr>
      <w:r w:rsidRPr="00412994">
        <w:rPr>
          <w:rFonts w:cs="Arial"/>
          <w:color w:val="7030A0"/>
        </w:rPr>
        <w:t>A male worker is called several homophobic names by his colleagues who know that he is heterosexual. Many workers would not welcome this sort of behaviour. However, an employment tribunal finds that this worker did not object to the conduct, which continued for several years. He willingly joined in, making equally offensive comments to his colleagues. There is also evidence of genuine friendships with the colleagues, such as going on holiday with one of them.</w:t>
      </w:r>
    </w:p>
    <w:p w14:paraId="51C81B60" w14:textId="7F869504" w:rsidR="006967C3" w:rsidRPr="00412994" w:rsidRDefault="006967C3"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000000" w:themeColor="text1"/>
        </w:rPr>
      </w:pPr>
      <w:r w:rsidRPr="00412994">
        <w:rPr>
          <w:rFonts w:cs="Arial"/>
          <w:color w:val="000000" w:themeColor="text1"/>
        </w:rPr>
        <w:t>The tribunal finds that in the circumstances, the worker’s actions do not indicate that the conduct was unwanted.</w:t>
      </w:r>
    </w:p>
    <w:p w14:paraId="10D306BD" w14:textId="77777777" w:rsidR="009C2CEA" w:rsidRPr="00412994" w:rsidRDefault="009C2CEA" w:rsidP="00C219A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both"/>
        <w:rPr>
          <w:rFonts w:cs="Arial"/>
          <w:color w:val="000000" w:themeColor="text1"/>
          <w:sz w:val="8"/>
          <w:szCs w:val="6"/>
        </w:rPr>
      </w:pPr>
    </w:p>
    <w:p w14:paraId="04E33CD9" w14:textId="2344C716" w:rsidR="00EE7BB6" w:rsidRPr="00412994" w:rsidRDefault="00EE7BB6" w:rsidP="00C219AF">
      <w:pPr>
        <w:spacing w:after="0" w:line="240" w:lineRule="auto"/>
        <w:jc w:val="both"/>
        <w:rPr>
          <w:rFonts w:cs="Arial"/>
          <w:color w:val="111111"/>
          <w:shd w:val="clear" w:color="auto" w:fill="FFFFFF"/>
        </w:rPr>
      </w:pPr>
      <w:r w:rsidRPr="00412994">
        <w:rPr>
          <w:rFonts w:cs="Arial"/>
          <w:color w:val="111111"/>
          <w:shd w:val="clear" w:color="auto" w:fill="FFFFFF"/>
        </w:rPr>
        <w:lastRenderedPageBreak/>
        <w:t xml:space="preserve">What one employee may tolerate as acceptable behaviour, another may find offensive or degrading. </w:t>
      </w:r>
      <w:r w:rsidR="006967C3" w:rsidRPr="00412994">
        <w:rPr>
          <w:rFonts w:cs="Arial"/>
          <w:color w:val="111111"/>
          <w:shd w:val="clear" w:color="auto" w:fill="FFFFFF"/>
        </w:rPr>
        <w:t>Although, in some cases it will be obvious that conduct is unwanted because it plainly violates a person’s dignity.</w:t>
      </w:r>
    </w:p>
    <w:p w14:paraId="0E0B1013" w14:textId="0B571A7E" w:rsidR="006967C3" w:rsidRPr="00412994" w:rsidRDefault="006967C3" w:rsidP="00C219AF">
      <w:pPr>
        <w:spacing w:after="0" w:line="240" w:lineRule="auto"/>
        <w:jc w:val="both"/>
        <w:rPr>
          <w:rFonts w:cs="Arial"/>
          <w:color w:val="000000" w:themeColor="text1"/>
        </w:rPr>
      </w:pPr>
      <w:r w:rsidRPr="00412994">
        <w:rPr>
          <w:rFonts w:cs="Arial"/>
          <w:color w:val="000000" w:themeColor="text1"/>
        </w:rPr>
        <w:t xml:space="preserve">There may also be circumstances in which a course of conduct is not unwanted in the earlier stages, but at some </w:t>
      </w:r>
      <w:proofErr w:type="gramStart"/>
      <w:r w:rsidRPr="00412994">
        <w:rPr>
          <w:rFonts w:cs="Arial"/>
          <w:color w:val="000000" w:themeColor="text1"/>
        </w:rPr>
        <w:t>point</w:t>
      </w:r>
      <w:proofErr w:type="gramEnd"/>
      <w:r w:rsidRPr="00412994">
        <w:rPr>
          <w:rFonts w:cs="Arial"/>
          <w:color w:val="000000" w:themeColor="text1"/>
        </w:rPr>
        <w:t xml:space="preserve"> the conduct 'oversteps the mark' and becomes unwanted. This can still constitute harassment and </w:t>
      </w:r>
      <w:proofErr w:type="gramStart"/>
      <w:r w:rsidRPr="00412994">
        <w:rPr>
          <w:rFonts w:cs="Arial"/>
          <w:color w:val="000000" w:themeColor="text1"/>
        </w:rPr>
        <w:t>a</w:t>
      </w:r>
      <w:proofErr w:type="gramEnd"/>
      <w:r w:rsidRPr="00412994">
        <w:rPr>
          <w:rFonts w:cs="Arial"/>
          <w:color w:val="000000" w:themeColor="text1"/>
        </w:rPr>
        <w:t xml:space="preserve"> employee can bring a claim for harassment even though they once accepted the conduct.</w:t>
      </w:r>
    </w:p>
    <w:p w14:paraId="3479D88E" w14:textId="77777777" w:rsidR="00EE7BB6" w:rsidRPr="00412994" w:rsidRDefault="00EE7BB6" w:rsidP="00C219AF">
      <w:pPr>
        <w:spacing w:after="0" w:line="240" w:lineRule="auto"/>
        <w:jc w:val="both"/>
        <w:rPr>
          <w:rFonts w:cs="Arial"/>
          <w:color w:val="111111"/>
          <w:shd w:val="clear" w:color="auto" w:fill="FFFFFF"/>
        </w:rPr>
      </w:pPr>
      <w:r w:rsidRPr="00412994">
        <w:rPr>
          <w:rFonts w:cs="Arial"/>
          <w:color w:val="111111"/>
          <w:shd w:val="clear" w:color="auto" w:fill="FFFFFF"/>
        </w:rPr>
        <w:t xml:space="preserve">The motive of the harasser is irrelevant in determining whether something is considered harassment, as harassment claims are fact-sensitive and context-specific. It is up to the employment tribunal to decide if the unwanted conduct constitutes harassment. </w:t>
      </w:r>
    </w:p>
    <w:p w14:paraId="5659AFB3" w14:textId="77777777" w:rsidR="00EE7BB6" w:rsidRPr="00412994" w:rsidRDefault="00EE7BB6" w:rsidP="00C219AF">
      <w:pPr>
        <w:spacing w:after="0" w:line="240" w:lineRule="auto"/>
        <w:jc w:val="both"/>
        <w:rPr>
          <w:rFonts w:cs="Arial"/>
          <w:color w:val="111111"/>
          <w:shd w:val="clear" w:color="auto" w:fill="FFFFFF"/>
        </w:rPr>
      </w:pPr>
      <w:r w:rsidRPr="00412994">
        <w:rPr>
          <w:rFonts w:cs="Arial"/>
          <w:color w:val="111111"/>
          <w:shd w:val="clear" w:color="auto" w:fill="FFFFFF"/>
        </w:rPr>
        <w:t xml:space="preserve">Examples of unwanted conduct include: </w:t>
      </w:r>
    </w:p>
    <w:p w14:paraId="45D44B26" w14:textId="77777777" w:rsidR="009C2CEA" w:rsidRPr="00412994" w:rsidRDefault="009C2CEA" w:rsidP="00C219AF">
      <w:pPr>
        <w:pStyle w:val="ListParagraph"/>
        <w:numPr>
          <w:ilvl w:val="0"/>
          <w:numId w:val="26"/>
        </w:numPr>
        <w:spacing w:after="0" w:line="240" w:lineRule="auto"/>
        <w:jc w:val="both"/>
        <w:rPr>
          <w:rFonts w:cs="Arial"/>
          <w:color w:val="111111"/>
          <w:shd w:val="clear" w:color="auto" w:fill="FFFFFF"/>
        </w:rPr>
        <w:sectPr w:rsidR="009C2CEA" w:rsidRPr="00412994" w:rsidSect="008D758E">
          <w:footerReference w:type="default" r:id="rId11"/>
          <w:pgSz w:w="11906" w:h="16838"/>
          <w:pgMar w:top="1440" w:right="1440" w:bottom="1440" w:left="1440" w:header="708" w:footer="708" w:gutter="0"/>
          <w:cols w:space="708"/>
          <w:titlePg/>
          <w:docGrid w:linePitch="360"/>
        </w:sectPr>
      </w:pPr>
    </w:p>
    <w:p w14:paraId="5D5AAF47" w14:textId="3FA4C865"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spoken or written words</w:t>
      </w:r>
    </w:p>
    <w:p w14:paraId="3B37E62A" w14:textId="77777777"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banter</w:t>
      </w:r>
    </w:p>
    <w:p w14:paraId="5E10E076" w14:textId="77777777"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social media posts or contact</w:t>
      </w:r>
    </w:p>
    <w:p w14:paraId="47C9E9A4" w14:textId="77777777"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imagery</w:t>
      </w:r>
    </w:p>
    <w:p w14:paraId="7E93367D" w14:textId="77777777"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graffiti</w:t>
      </w:r>
    </w:p>
    <w:p w14:paraId="256D51DB" w14:textId="77777777" w:rsidR="00EE7BB6"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 xml:space="preserve">acts affecting a person’s </w:t>
      </w:r>
      <w:proofErr w:type="gramStart"/>
      <w:r w:rsidRPr="00412994">
        <w:rPr>
          <w:rFonts w:cs="Arial"/>
          <w:color w:val="111111"/>
          <w:shd w:val="clear" w:color="auto" w:fill="FFFFFF"/>
        </w:rPr>
        <w:t>surroundings</w:t>
      </w:r>
      <w:proofErr w:type="gramEnd"/>
    </w:p>
    <w:p w14:paraId="08874603"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aggression</w:t>
      </w:r>
    </w:p>
    <w:p w14:paraId="552D57EF"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 xml:space="preserve">physical </w:t>
      </w:r>
      <w:r w:rsidR="006967C3" w:rsidRPr="00412994">
        <w:rPr>
          <w:rFonts w:cs="Arial"/>
          <w:color w:val="111111"/>
          <w:shd w:val="clear" w:color="auto" w:fill="FFFFFF"/>
        </w:rPr>
        <w:t>behaviour</w:t>
      </w:r>
      <w:r w:rsidRPr="00412994">
        <w:rPr>
          <w:rFonts w:cs="Arial"/>
          <w:color w:val="111111"/>
          <w:shd w:val="clear" w:color="auto" w:fill="FFFFFF"/>
        </w:rPr>
        <w:t xml:space="preserve"> towards a person or their property</w:t>
      </w:r>
    </w:p>
    <w:p w14:paraId="07E54D5D"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physical gestures</w:t>
      </w:r>
    </w:p>
    <w:p w14:paraId="11340D05"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facial expressions</w:t>
      </w:r>
    </w:p>
    <w:p w14:paraId="5FF56AC3"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mimicry</w:t>
      </w:r>
    </w:p>
    <w:p w14:paraId="596336F6" w14:textId="77777777" w:rsidR="006967C3" w:rsidRPr="00412994" w:rsidRDefault="00EE7BB6" w:rsidP="00C219AF">
      <w:pPr>
        <w:pStyle w:val="ListParagraph"/>
        <w:numPr>
          <w:ilvl w:val="0"/>
          <w:numId w:val="26"/>
        </w:numPr>
        <w:spacing w:after="0" w:line="240" w:lineRule="auto"/>
        <w:jc w:val="both"/>
        <w:rPr>
          <w:rFonts w:cs="Arial"/>
          <w:color w:val="000000" w:themeColor="text1"/>
        </w:rPr>
      </w:pPr>
      <w:r w:rsidRPr="00412994">
        <w:rPr>
          <w:rFonts w:cs="Arial"/>
          <w:color w:val="111111"/>
          <w:shd w:val="clear" w:color="auto" w:fill="FFFFFF"/>
        </w:rPr>
        <w:t xml:space="preserve">jokes or pranks. </w:t>
      </w:r>
    </w:p>
    <w:p w14:paraId="7C53DC40" w14:textId="77777777" w:rsidR="009C2CEA" w:rsidRPr="00412994" w:rsidRDefault="009C2CEA" w:rsidP="00C219AF">
      <w:pPr>
        <w:spacing w:after="0" w:line="240" w:lineRule="auto"/>
        <w:jc w:val="both"/>
        <w:rPr>
          <w:rFonts w:cs="Arial"/>
          <w:i/>
          <w:iCs/>
          <w:color w:val="000000" w:themeColor="text1"/>
        </w:rPr>
        <w:sectPr w:rsidR="009C2CEA" w:rsidRPr="00412994" w:rsidSect="009C2CEA">
          <w:type w:val="continuous"/>
          <w:pgSz w:w="11906" w:h="16838"/>
          <w:pgMar w:top="1440" w:right="1440" w:bottom="1440" w:left="1440" w:header="708" w:footer="708" w:gutter="0"/>
          <w:cols w:num="2" w:space="708"/>
          <w:titlePg/>
          <w:docGrid w:linePitch="360"/>
        </w:sectPr>
      </w:pPr>
    </w:p>
    <w:p w14:paraId="412ED4D4" w14:textId="77777777" w:rsidR="006967C3" w:rsidRDefault="006967C3" w:rsidP="00C219AF">
      <w:pPr>
        <w:spacing w:after="0" w:line="240" w:lineRule="auto"/>
        <w:jc w:val="both"/>
        <w:rPr>
          <w:rFonts w:cs="Arial"/>
          <w:i/>
          <w:iCs/>
          <w:color w:val="000000" w:themeColor="text1"/>
        </w:rPr>
      </w:pPr>
    </w:p>
    <w:p w14:paraId="2E051F95" w14:textId="77777777" w:rsidR="00C219AF" w:rsidRPr="00412994" w:rsidRDefault="00C219AF" w:rsidP="00C219AF">
      <w:pPr>
        <w:spacing w:after="0" w:line="240" w:lineRule="auto"/>
        <w:jc w:val="both"/>
        <w:rPr>
          <w:rFonts w:cs="Arial"/>
          <w:i/>
          <w:iCs/>
          <w:color w:val="000000" w:themeColor="text1"/>
        </w:rPr>
      </w:pPr>
    </w:p>
    <w:p w14:paraId="42337174" w14:textId="057CF1E4" w:rsidR="006967C3" w:rsidRPr="00412994" w:rsidRDefault="00C565FC"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000000" w:themeColor="text1"/>
          <w:u w:val="single"/>
        </w:rPr>
      </w:pPr>
      <w:r w:rsidRPr="00412994">
        <w:rPr>
          <w:rFonts w:cs="Arial"/>
          <w:b/>
          <w:bCs/>
          <w:color w:val="000000" w:themeColor="text1"/>
          <w:u w:val="single"/>
        </w:rPr>
        <w:t>CASE REV</w:t>
      </w:r>
      <w:r w:rsidR="006967C3" w:rsidRPr="00412994">
        <w:rPr>
          <w:rFonts w:cs="Arial"/>
          <w:b/>
          <w:bCs/>
          <w:color w:val="000000" w:themeColor="text1"/>
          <w:u w:val="single"/>
        </w:rPr>
        <w:t>I</w:t>
      </w:r>
      <w:r w:rsidRPr="00412994">
        <w:rPr>
          <w:rFonts w:cs="Arial"/>
          <w:b/>
          <w:bCs/>
          <w:color w:val="000000" w:themeColor="text1"/>
          <w:u w:val="single"/>
        </w:rPr>
        <w:t xml:space="preserve">EW: </w:t>
      </w:r>
      <w:proofErr w:type="spellStart"/>
      <w:r w:rsidRPr="00412994">
        <w:rPr>
          <w:rFonts w:cs="Arial"/>
          <w:b/>
          <w:bCs/>
          <w:color w:val="000000" w:themeColor="text1"/>
          <w:u w:val="single"/>
        </w:rPr>
        <w:t>Insitu</w:t>
      </w:r>
      <w:proofErr w:type="spellEnd"/>
      <w:r w:rsidRPr="00412994">
        <w:rPr>
          <w:rFonts w:cs="Arial"/>
          <w:b/>
          <w:bCs/>
          <w:color w:val="000000" w:themeColor="text1"/>
          <w:u w:val="single"/>
        </w:rPr>
        <w:t xml:space="preserve"> Cleaning Co Ltd and another v Heads [1995] IRLR 4 EAT</w:t>
      </w:r>
    </w:p>
    <w:p w14:paraId="2F4E3E96" w14:textId="77777777" w:rsidR="006967C3" w:rsidRPr="00412994" w:rsidRDefault="006967C3"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000000" w:themeColor="text1"/>
          <w:sz w:val="8"/>
          <w:szCs w:val="6"/>
          <w:u w:val="single"/>
        </w:rPr>
      </w:pPr>
    </w:p>
    <w:p w14:paraId="13257C54" w14:textId="1610FFA1" w:rsidR="006967C3" w:rsidRPr="00412994" w:rsidRDefault="006967C3" w:rsidP="00C219AF">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jc w:val="both"/>
        <w:rPr>
          <w:rFonts w:cs="Arial"/>
          <w:color w:val="000000" w:themeColor="text1"/>
        </w:rPr>
      </w:pPr>
      <w:r w:rsidRPr="00412994">
        <w:rPr>
          <w:rFonts w:cs="Arial"/>
          <w:color w:val="000000" w:themeColor="text1"/>
        </w:rPr>
        <w:t>A remark about a woman’s breasts was ruled as sexual harassment and unlawfully discriminatory, highlighting that such comments cannot be equated with remarks about a man’s bald head or beard.</w:t>
      </w:r>
    </w:p>
    <w:p w14:paraId="70352049" w14:textId="4BB3AA4F" w:rsidR="006967C3" w:rsidRPr="00412994" w:rsidRDefault="006967C3" w:rsidP="00C219AF">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jc w:val="both"/>
        <w:rPr>
          <w:rFonts w:cs="Arial"/>
          <w:color w:val="000000" w:themeColor="text1"/>
        </w:rPr>
      </w:pPr>
      <w:r w:rsidRPr="00412994">
        <w:rPr>
          <w:rFonts w:cs="Arial"/>
          <w:color w:val="000000" w:themeColor="text1"/>
        </w:rPr>
        <w:t>The harasser cannot claim ignorance of the conduct being unwanted, as some behaviours are inherently unwelcome and do not require prior objection from the victim.</w:t>
      </w:r>
    </w:p>
    <w:p w14:paraId="36BC47B9" w14:textId="321F79A4" w:rsidR="006967C3" w:rsidRPr="00412994" w:rsidRDefault="006967C3" w:rsidP="00C219AF">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jc w:val="both"/>
        <w:rPr>
          <w:rFonts w:cs="Arial"/>
          <w:color w:val="000000" w:themeColor="text1"/>
        </w:rPr>
      </w:pPr>
      <w:r w:rsidRPr="00412994">
        <w:rPr>
          <w:rFonts w:cs="Arial"/>
          <w:color w:val="000000" w:themeColor="text1"/>
        </w:rPr>
        <w:t>The tribunal found that a single act of verbal sexual harassment was sufficient to cause detriment and support a harassment complaint, emphasising that “unwanted” conduct can be a one-time incident.</w:t>
      </w:r>
    </w:p>
    <w:p w14:paraId="2025A7C3" w14:textId="6F77E19A" w:rsidR="006967C3" w:rsidRPr="00412994" w:rsidRDefault="006967C3" w:rsidP="00C219AF">
      <w:pPr>
        <w:pStyle w:val="ListParagraph"/>
        <w:numPr>
          <w:ilvl w:val="0"/>
          <w:numId w:val="27"/>
        </w:numPr>
        <w:pBdr>
          <w:top w:val="single" w:sz="4" w:space="1" w:color="auto"/>
          <w:left w:val="single" w:sz="4" w:space="4" w:color="auto"/>
          <w:bottom w:val="single" w:sz="4" w:space="1" w:color="auto"/>
          <w:right w:val="single" w:sz="4" w:space="4" w:color="auto"/>
        </w:pBdr>
        <w:spacing w:after="0" w:line="240" w:lineRule="auto"/>
        <w:jc w:val="both"/>
        <w:rPr>
          <w:rFonts w:cs="Arial"/>
          <w:color w:val="000000" w:themeColor="text1"/>
        </w:rPr>
      </w:pPr>
      <w:r w:rsidRPr="00412994">
        <w:rPr>
          <w:rFonts w:cs="Arial"/>
          <w:color w:val="000000" w:themeColor="text1"/>
        </w:rPr>
        <w:t>The EAT recommended that employers adopt a specific sexual harassment procedure, including an informal initial step to handle complaints sympathetically, and that complaints should be assessed from the perspective of the person aggrieved.</w:t>
      </w:r>
    </w:p>
    <w:p w14:paraId="61384CAC" w14:textId="547825AE" w:rsidR="00C219AF" w:rsidRDefault="00C219AF" w:rsidP="00C219AF">
      <w:pPr>
        <w:spacing w:after="0" w:line="240" w:lineRule="auto"/>
        <w:jc w:val="both"/>
        <w:rPr>
          <w:rFonts w:cs="Arial"/>
          <w:b/>
          <w:bCs/>
          <w:color w:val="000000" w:themeColor="text1"/>
          <w:u w:val="single"/>
        </w:rPr>
      </w:pPr>
    </w:p>
    <w:p w14:paraId="4CE187EB" w14:textId="77777777" w:rsidR="00173D09" w:rsidRDefault="00173D09" w:rsidP="00173D09">
      <w:pPr>
        <w:pStyle w:val="Heading2"/>
        <w:numPr>
          <w:ilvl w:val="0"/>
          <w:numId w:val="0"/>
        </w:numPr>
      </w:pPr>
    </w:p>
    <w:p w14:paraId="31B2E072" w14:textId="4637176A" w:rsidR="00C219AF" w:rsidRDefault="004475F9" w:rsidP="00173D09">
      <w:pPr>
        <w:pStyle w:val="Heading2"/>
      </w:pPr>
      <w:bookmarkStart w:id="3" w:name="_Toc181889851"/>
      <w:r w:rsidRPr="00412994">
        <w:t xml:space="preserve">Unwanted conduct related to a relevant protected </w:t>
      </w:r>
      <w:proofErr w:type="gramStart"/>
      <w:r w:rsidRPr="00412994">
        <w:t>characteristic</w:t>
      </w:r>
      <w:bookmarkEnd w:id="3"/>
      <w:proofErr w:type="gramEnd"/>
    </w:p>
    <w:p w14:paraId="1C770B81" w14:textId="77777777" w:rsidR="00C219AF" w:rsidRPr="00C219AF" w:rsidRDefault="00C219AF" w:rsidP="00C219AF"/>
    <w:p w14:paraId="4C0E5AE3" w14:textId="5DC19FBD" w:rsidR="009C2CEA" w:rsidRDefault="009C2CEA" w:rsidP="00C219AF">
      <w:pPr>
        <w:spacing w:after="0" w:line="240" w:lineRule="auto"/>
        <w:jc w:val="both"/>
        <w:rPr>
          <w:rFonts w:cs="Arial"/>
          <w:color w:val="111111"/>
          <w:shd w:val="clear" w:color="auto" w:fill="FFFFFF"/>
        </w:rPr>
      </w:pPr>
      <w:r w:rsidRPr="00412994">
        <w:rPr>
          <w:rFonts w:cs="Arial"/>
          <w:color w:val="111111"/>
          <w:shd w:val="clear" w:color="auto" w:fill="FFFFFF"/>
        </w:rPr>
        <w:t>Section 26 of the Equality Act 2010 refers to “a” relevant protected characteristic, without specifying that it must be the claimant’s own characteristic. This means that an employee, ex-employee or applicant does not need to possess the protected characteristic themselves to succeed in a harassment claim. The key requirement is that the conduct in question is related to a protected characteristic, rather than the claimant’s own characteristic.</w:t>
      </w:r>
    </w:p>
    <w:p w14:paraId="3BF0C8F3" w14:textId="77777777" w:rsidR="00C219AF" w:rsidRDefault="00C219AF" w:rsidP="00C219AF">
      <w:pPr>
        <w:spacing w:after="0" w:line="240" w:lineRule="auto"/>
        <w:jc w:val="both"/>
        <w:rPr>
          <w:rFonts w:cs="Arial"/>
          <w:color w:val="111111"/>
          <w:shd w:val="clear" w:color="auto" w:fill="FFFFFF"/>
        </w:rPr>
      </w:pPr>
    </w:p>
    <w:p w14:paraId="61711A19" w14:textId="77777777" w:rsidR="00C219AF" w:rsidRDefault="00C219AF" w:rsidP="00C219AF">
      <w:pPr>
        <w:spacing w:after="0" w:line="240" w:lineRule="auto"/>
        <w:jc w:val="both"/>
        <w:rPr>
          <w:rFonts w:cs="Arial"/>
          <w:color w:val="111111"/>
          <w:shd w:val="clear" w:color="auto" w:fill="FFFFFF"/>
        </w:rPr>
      </w:pPr>
    </w:p>
    <w:p w14:paraId="5161B367" w14:textId="77777777" w:rsidR="00C219AF" w:rsidRDefault="00C219AF" w:rsidP="00C219AF">
      <w:pPr>
        <w:spacing w:after="0" w:line="240" w:lineRule="auto"/>
        <w:jc w:val="both"/>
        <w:rPr>
          <w:rFonts w:cs="Arial"/>
          <w:color w:val="111111"/>
          <w:shd w:val="clear" w:color="auto" w:fill="FFFFFF"/>
        </w:rPr>
      </w:pPr>
    </w:p>
    <w:p w14:paraId="3B718140" w14:textId="77777777" w:rsidR="00C219AF" w:rsidRPr="00412994" w:rsidRDefault="00C219AF" w:rsidP="00C219AF">
      <w:pPr>
        <w:spacing w:after="0" w:line="240" w:lineRule="auto"/>
        <w:jc w:val="both"/>
        <w:rPr>
          <w:rFonts w:cs="Arial"/>
          <w:color w:val="111111"/>
          <w:shd w:val="clear" w:color="auto" w:fill="FFFFFF"/>
        </w:rPr>
      </w:pPr>
    </w:p>
    <w:p w14:paraId="498D482A" w14:textId="24636CA5" w:rsidR="000C5726" w:rsidRPr="00412994" w:rsidRDefault="004475F9"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000000" w:themeColor="text1"/>
          <w:u w:val="single"/>
        </w:rPr>
      </w:pPr>
      <w:r w:rsidRPr="00412994">
        <w:rPr>
          <w:rFonts w:cs="Arial"/>
          <w:b/>
          <w:bCs/>
          <w:color w:val="000000" w:themeColor="text1"/>
          <w:u w:val="single"/>
        </w:rPr>
        <w:t xml:space="preserve">CASE REVIEW: English v Thomas Sanderson Blinds [2008] EWCA </w:t>
      </w:r>
      <w:proofErr w:type="spellStart"/>
      <w:r w:rsidRPr="00412994">
        <w:rPr>
          <w:rFonts w:cs="Arial"/>
          <w:b/>
          <w:bCs/>
          <w:color w:val="000000" w:themeColor="text1"/>
          <w:u w:val="single"/>
        </w:rPr>
        <w:t>Civ</w:t>
      </w:r>
      <w:proofErr w:type="spellEnd"/>
      <w:r w:rsidRPr="00412994">
        <w:rPr>
          <w:rFonts w:cs="Arial"/>
          <w:b/>
          <w:bCs/>
          <w:color w:val="000000" w:themeColor="text1"/>
          <w:u w:val="single"/>
        </w:rPr>
        <w:t xml:space="preserve"> 1421 CA</w:t>
      </w:r>
    </w:p>
    <w:p w14:paraId="45469B68" w14:textId="7A5C8EEB" w:rsidR="009142F8" w:rsidRPr="00412994" w:rsidRDefault="009C2CEA" w:rsidP="00C219AF">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The Court of Appeal ruled that the Employment Equality (Sexual Orientation) Regulations 2003 cover homophobic abuse against a man who is not gay and not perceived to be gay by those making the remarks.</w:t>
      </w:r>
    </w:p>
    <w:p w14:paraId="125C7709" w14:textId="2AC67EF3" w:rsidR="009142F8" w:rsidRPr="00412994" w:rsidRDefault="009C2CEA" w:rsidP="00C219AF">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Mr. English, a heterosexual man, successfully claimed harassment after enduring years of innuendo about his sexuality, despite his colleagues not believing he was gay.</w:t>
      </w:r>
    </w:p>
    <w:p w14:paraId="22F1B1BE" w14:textId="1DB23A4F" w:rsidR="009142F8" w:rsidRPr="00412994" w:rsidRDefault="009C2CEA" w:rsidP="00C219AF">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The EAT initially found that the Regulations did not protect Mr. English, as the abuse was not “on grounds of sexual orientation” according to their narrower interpretation compared to the Equal Treatment Directive.</w:t>
      </w:r>
    </w:p>
    <w:p w14:paraId="1092BAA8" w14:textId="3E42D23B" w:rsidR="009C2CEA" w:rsidRPr="00412994" w:rsidRDefault="009C2CEA" w:rsidP="00C219AF">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The Court of Appeal overturned the EAT’s decision, stating that the repeated taunts about Mr. English being gay were sufficient to constitute harassment, regardless of his actual sexual orientation, as the abuse created an intolerable working environment.</w:t>
      </w:r>
    </w:p>
    <w:p w14:paraId="3ED6A889" w14:textId="77777777" w:rsidR="00A91371" w:rsidRDefault="00A91371" w:rsidP="00C219AF">
      <w:pPr>
        <w:spacing w:after="0" w:line="240" w:lineRule="auto"/>
        <w:jc w:val="both"/>
        <w:rPr>
          <w:rFonts w:cs="Arial"/>
        </w:rPr>
      </w:pPr>
    </w:p>
    <w:p w14:paraId="39C39CED" w14:textId="77777777" w:rsidR="00C219AF" w:rsidRPr="00412994" w:rsidRDefault="00C219AF" w:rsidP="00C219AF">
      <w:pPr>
        <w:spacing w:after="0" w:line="240" w:lineRule="auto"/>
        <w:jc w:val="both"/>
        <w:rPr>
          <w:rFonts w:cs="Arial"/>
        </w:rPr>
      </w:pPr>
    </w:p>
    <w:p w14:paraId="712EB949" w14:textId="02C99BBC" w:rsidR="00A91371" w:rsidRPr="00412994" w:rsidRDefault="004475F9" w:rsidP="00173D09">
      <w:pPr>
        <w:pStyle w:val="Heading2"/>
      </w:pPr>
      <w:bookmarkStart w:id="4" w:name="_Toc181889852"/>
      <w:r w:rsidRPr="00412994">
        <w:t>The conduct has the purpose or effect of violating dignity or creating an intimidating, hostile, degrading, humiliating or offensive environment.</w:t>
      </w:r>
      <w:bookmarkEnd w:id="4"/>
      <w:r w:rsidRPr="00412994">
        <w:t xml:space="preserve"> </w:t>
      </w:r>
    </w:p>
    <w:p w14:paraId="4768C06A" w14:textId="77777777" w:rsidR="009C2CEA" w:rsidRPr="00412994" w:rsidRDefault="009C2CEA" w:rsidP="00C219AF">
      <w:pPr>
        <w:spacing w:before="100" w:beforeAutospacing="1" w:after="0" w:line="240" w:lineRule="auto"/>
        <w:jc w:val="both"/>
        <w:rPr>
          <w:rFonts w:cs="Arial"/>
        </w:rPr>
      </w:pPr>
      <w:r w:rsidRPr="00412994">
        <w:rPr>
          <w:rFonts w:cs="Arial"/>
        </w:rPr>
        <w:t xml:space="preserve">To constitute harassment, the conduct in question must have the purpose or effect of violating a person’s dignity or creating an intimidating, hostile, degrading, humiliating, or offensive environment. </w:t>
      </w:r>
    </w:p>
    <w:p w14:paraId="292ECBFA" w14:textId="0353F849" w:rsidR="009C2CEA" w:rsidRPr="00412994" w:rsidRDefault="009C2CEA" w:rsidP="00C219AF">
      <w:pPr>
        <w:spacing w:before="100" w:beforeAutospacing="1" w:after="0" w:line="240" w:lineRule="auto"/>
        <w:jc w:val="both"/>
        <w:rPr>
          <w:rFonts w:cs="Arial"/>
        </w:rPr>
      </w:pPr>
      <w:r w:rsidRPr="00412994">
        <w:rPr>
          <w:rFonts w:cs="Arial"/>
        </w:rPr>
        <w:t xml:space="preserve">While proving the purpose behind the conduct can be challenging, the focus should be on the impact on the victim rather than the harasser’s motive. </w:t>
      </w:r>
    </w:p>
    <w:p w14:paraId="130DF420" w14:textId="11CC88C0" w:rsidR="002B53C1" w:rsidRDefault="009C2CEA" w:rsidP="00C219AF">
      <w:pPr>
        <w:spacing w:before="100" w:beforeAutospacing="1" w:after="0" w:line="240" w:lineRule="auto"/>
        <w:jc w:val="both"/>
        <w:rPr>
          <w:rFonts w:cs="Arial"/>
        </w:rPr>
      </w:pPr>
      <w:r w:rsidRPr="00412994">
        <w:rPr>
          <w:rFonts w:cs="Arial"/>
        </w:rPr>
        <w:t>To establish intent, it is necessary to consider the employee’s perception, the other circumstances of the case, and whether it is reasonable for the conduct to have that effect. The effect of the conduct is assessed from the victim’s viewpoint,</w:t>
      </w:r>
      <w:r w:rsidR="009142F8" w:rsidRPr="00412994">
        <w:rPr>
          <w:rFonts w:cs="Arial"/>
        </w:rPr>
        <w:t xml:space="preserve"> </w:t>
      </w:r>
      <w:r w:rsidRPr="00412994">
        <w:rPr>
          <w:rFonts w:cs="Arial"/>
        </w:rPr>
        <w:t>emphasising the importance of how the victim perceives the behaviour.</w:t>
      </w:r>
    </w:p>
    <w:p w14:paraId="79463F66" w14:textId="24A3D321" w:rsidR="009142F8" w:rsidRPr="00412994" w:rsidRDefault="009142F8"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b/>
          <w:bCs/>
          <w:color w:val="000000" w:themeColor="text1"/>
          <w:u w:val="single"/>
        </w:rPr>
      </w:pPr>
      <w:r w:rsidRPr="00412994">
        <w:rPr>
          <w:rFonts w:cs="Arial"/>
          <w:b/>
          <w:bCs/>
          <w:color w:val="111111"/>
          <w:u w:val="single"/>
          <w:shd w:val="clear" w:color="auto" w:fill="FFFFFF"/>
        </w:rPr>
        <w:t>CASE REVIEW: Harper v Housing 21 ET/2408839/2012</w:t>
      </w:r>
    </w:p>
    <w:p w14:paraId="4625DA5B" w14:textId="2CFF93EB" w:rsidR="009142F8" w:rsidRPr="00412994" w:rsidRDefault="009142F8" w:rsidP="00C219A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Employment Tribunal found that vulgar and offensive comments about Ms. Harper’s race, passed off as “banter” by her employer, constituted race-related harassment, regardless of the manager’s intentions.</w:t>
      </w:r>
    </w:p>
    <w:p w14:paraId="485575D0" w14:textId="0749B89B" w:rsidR="009142F8" w:rsidRPr="00412994" w:rsidRDefault="009142F8" w:rsidP="00C219A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Ms. Harper, who is Irish, faced derogatory remarks about her nationality from her line manager, Nicola James, which included being called an “Irish gypsy” and likened to women on a reality TV show.</w:t>
      </w:r>
    </w:p>
    <w:p w14:paraId="75D3BDB3" w14:textId="3B8FAC2A" w:rsidR="009142F8" w:rsidRPr="00412994" w:rsidRDefault="009142F8" w:rsidP="00C219A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Ms. Harper’s grievance about these comments was corroborated by other employees, and despite Ms. James claiming the remarks were harmless banter, the Tribunal upheld Ms. Harper’s claims of direct race discrimination, race-related harassment, and constructive dismissal.</w:t>
      </w:r>
    </w:p>
    <w:p w14:paraId="1CC95EA2" w14:textId="22EF2E2A" w:rsidR="009142F8" w:rsidRPr="00412994" w:rsidRDefault="009142F8" w:rsidP="00C219AF">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Tribunal concluded that Housing 21 failed to properly investigate Ms. Harper’s complaints, leading to less favourable treatment due to her race, and ordered a further remedy hearing to determine compensation.</w:t>
      </w:r>
    </w:p>
    <w:p w14:paraId="222C0400" w14:textId="77777777" w:rsidR="00C219AF" w:rsidRDefault="00C219AF" w:rsidP="00C219AF">
      <w:pPr>
        <w:spacing w:after="0" w:line="240" w:lineRule="auto"/>
        <w:jc w:val="both"/>
        <w:rPr>
          <w:rFonts w:cs="Arial"/>
          <w:color w:val="000000" w:themeColor="text1"/>
          <w:szCs w:val="24"/>
          <w:shd w:val="clear" w:color="auto" w:fill="FFFFFF"/>
        </w:rPr>
      </w:pPr>
    </w:p>
    <w:p w14:paraId="320D1758" w14:textId="6FB8DE10" w:rsidR="00A91371" w:rsidRDefault="002B53C1" w:rsidP="00C219AF">
      <w:pPr>
        <w:spacing w:after="0" w:line="240" w:lineRule="auto"/>
        <w:jc w:val="both"/>
        <w:rPr>
          <w:rFonts w:cs="Arial"/>
          <w:color w:val="000000" w:themeColor="text1"/>
          <w:szCs w:val="24"/>
          <w:shd w:val="clear" w:color="auto" w:fill="FFFFFF"/>
        </w:rPr>
      </w:pPr>
      <w:r w:rsidRPr="00412994">
        <w:rPr>
          <w:rFonts w:cs="Arial"/>
          <w:color w:val="000000" w:themeColor="text1"/>
          <w:szCs w:val="24"/>
          <w:shd w:val="clear" w:color="auto" w:fill="FFFFFF"/>
        </w:rPr>
        <w:lastRenderedPageBreak/>
        <w:t xml:space="preserve">Whilst conduct may be unwanted, it can be difficult to assess whether conduct has the purpose or effect of violating someone’s dignity. In some </w:t>
      </w:r>
      <w:proofErr w:type="gramStart"/>
      <w:r w:rsidRPr="00412994">
        <w:rPr>
          <w:rFonts w:cs="Arial"/>
          <w:color w:val="000000" w:themeColor="text1"/>
          <w:szCs w:val="24"/>
          <w:shd w:val="clear" w:color="auto" w:fill="FFFFFF"/>
        </w:rPr>
        <w:t>cases</w:t>
      </w:r>
      <w:proofErr w:type="gramEnd"/>
      <w:r w:rsidRPr="00412994">
        <w:rPr>
          <w:rFonts w:cs="Arial"/>
          <w:color w:val="000000" w:themeColor="text1"/>
          <w:szCs w:val="24"/>
          <w:shd w:val="clear" w:color="auto" w:fill="FFFFFF"/>
        </w:rPr>
        <w:t xml:space="preserve"> it may be that an employee has a different tolerance to the conduct. If an employee is hypersensitive to conduct which did not have the purpose or effect of violating someone’s dignity, then it will not</w:t>
      </w:r>
      <w:r w:rsidR="000C5726" w:rsidRPr="00412994">
        <w:rPr>
          <w:rFonts w:cs="Arial"/>
          <w:color w:val="000000" w:themeColor="text1"/>
          <w:szCs w:val="24"/>
          <w:shd w:val="clear" w:color="auto" w:fill="FFFFFF"/>
        </w:rPr>
        <w:t xml:space="preserve"> likely </w:t>
      </w:r>
      <w:r w:rsidRPr="00412994">
        <w:rPr>
          <w:rFonts w:cs="Arial"/>
          <w:color w:val="000000" w:themeColor="text1"/>
          <w:szCs w:val="24"/>
          <w:shd w:val="clear" w:color="auto" w:fill="FFFFFF"/>
        </w:rPr>
        <w:t>constitute harassment</w:t>
      </w:r>
      <w:r w:rsidR="000C5726" w:rsidRPr="00412994">
        <w:rPr>
          <w:rFonts w:cs="Arial"/>
          <w:color w:val="000000" w:themeColor="text1"/>
          <w:szCs w:val="24"/>
          <w:shd w:val="clear" w:color="auto" w:fill="FFFFFF"/>
        </w:rPr>
        <w:t>.</w:t>
      </w:r>
    </w:p>
    <w:p w14:paraId="22D6ADB7" w14:textId="77777777" w:rsidR="00C219AF" w:rsidRPr="00412994" w:rsidRDefault="00C219AF" w:rsidP="00C219AF">
      <w:pPr>
        <w:spacing w:after="0" w:line="240" w:lineRule="auto"/>
        <w:jc w:val="both"/>
        <w:rPr>
          <w:rFonts w:cs="Arial"/>
          <w:color w:val="000000" w:themeColor="text1"/>
          <w:szCs w:val="24"/>
          <w:shd w:val="clear" w:color="auto" w:fill="FFFFFF"/>
        </w:rPr>
      </w:pPr>
    </w:p>
    <w:p w14:paraId="72E9608E" w14:textId="12AC8C45" w:rsidR="000C5726" w:rsidRPr="00412994" w:rsidRDefault="000C5726"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000000" w:themeColor="text1"/>
          <w:u w:val="single"/>
        </w:rPr>
      </w:pPr>
      <w:r w:rsidRPr="00412994">
        <w:rPr>
          <w:rFonts w:cs="Arial"/>
          <w:b/>
          <w:bCs/>
          <w:color w:val="000000" w:themeColor="text1"/>
          <w:u w:val="single"/>
        </w:rPr>
        <w:t xml:space="preserve">CASE REVIEW: </w:t>
      </w:r>
      <w:proofErr w:type="spellStart"/>
      <w:r w:rsidRPr="00412994">
        <w:rPr>
          <w:rFonts w:cs="Arial"/>
          <w:b/>
          <w:bCs/>
          <w:color w:val="000000" w:themeColor="text1"/>
          <w:u w:val="single"/>
        </w:rPr>
        <w:t>Heafield</w:t>
      </w:r>
      <w:proofErr w:type="spellEnd"/>
      <w:r w:rsidRPr="00412994">
        <w:rPr>
          <w:rFonts w:cs="Arial"/>
          <w:b/>
          <w:bCs/>
          <w:color w:val="000000" w:themeColor="text1"/>
          <w:u w:val="single"/>
        </w:rPr>
        <w:t xml:space="preserve"> v Times Newspaper Ltd [2013] UKEAT/1305/12</w:t>
      </w:r>
    </w:p>
    <w:p w14:paraId="5AADEF81" w14:textId="28783F60" w:rsidR="001917E6" w:rsidRPr="00412994" w:rsidRDefault="001917E6" w:rsidP="00C219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szCs w:val="24"/>
          <w:shd w:val="clear" w:color="auto" w:fill="FFFFFF"/>
        </w:rPr>
      </w:pPr>
      <w:r w:rsidRPr="00412994">
        <w:rPr>
          <w:rFonts w:cs="Arial"/>
          <w:color w:val="000000" w:themeColor="text1"/>
          <w:szCs w:val="24"/>
          <w:shd w:val="clear" w:color="auto" w:fill="FFFFFF"/>
        </w:rPr>
        <w:t xml:space="preserve">A Catholic employee, Mr. </w:t>
      </w:r>
      <w:proofErr w:type="spellStart"/>
      <w:r w:rsidRPr="00412994">
        <w:rPr>
          <w:rFonts w:cs="Arial"/>
          <w:color w:val="000000" w:themeColor="text1"/>
          <w:szCs w:val="24"/>
          <w:shd w:val="clear" w:color="auto" w:fill="FFFFFF"/>
        </w:rPr>
        <w:t>Heafield</w:t>
      </w:r>
      <w:proofErr w:type="spellEnd"/>
      <w:r w:rsidRPr="00412994">
        <w:rPr>
          <w:rFonts w:cs="Arial"/>
          <w:color w:val="000000" w:themeColor="text1"/>
          <w:szCs w:val="24"/>
          <w:shd w:val="clear" w:color="auto" w:fill="FFFFFF"/>
        </w:rPr>
        <w:t>, was upset by a disrespectful reference to the Pope made by an editor, leading him to file a complaint for harassment and victimisation based on his religious beliefs.</w:t>
      </w:r>
    </w:p>
    <w:p w14:paraId="4F8902EF" w14:textId="5D86FB4F" w:rsidR="001917E6" w:rsidRPr="00412994" w:rsidRDefault="001917E6" w:rsidP="00C219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szCs w:val="24"/>
          <w:shd w:val="clear" w:color="auto" w:fill="FFFFFF"/>
        </w:rPr>
      </w:pPr>
      <w:r w:rsidRPr="00412994">
        <w:rPr>
          <w:rFonts w:cs="Arial"/>
          <w:color w:val="000000" w:themeColor="text1"/>
          <w:szCs w:val="24"/>
          <w:shd w:val="clear" w:color="auto" w:fill="FFFFFF"/>
        </w:rPr>
        <w:t xml:space="preserve">The Employment Tribunal dismissed his claims, stating that the editor’s comment, although unwanted, did not have the purpose or effect of violating </w:t>
      </w:r>
      <w:proofErr w:type="spellStart"/>
      <w:r w:rsidRPr="00412994">
        <w:rPr>
          <w:rFonts w:cs="Arial"/>
          <w:color w:val="000000" w:themeColor="text1"/>
          <w:szCs w:val="24"/>
          <w:shd w:val="clear" w:color="auto" w:fill="FFFFFF"/>
        </w:rPr>
        <w:t>Heafield’s</w:t>
      </w:r>
      <w:proofErr w:type="spellEnd"/>
      <w:r w:rsidRPr="00412994">
        <w:rPr>
          <w:rFonts w:cs="Arial"/>
          <w:color w:val="000000" w:themeColor="text1"/>
          <w:szCs w:val="24"/>
          <w:shd w:val="clear" w:color="auto" w:fill="FFFFFF"/>
        </w:rPr>
        <w:t xml:space="preserve"> dignity or creating an adverse environment, and was not made because of his religion.</w:t>
      </w:r>
    </w:p>
    <w:p w14:paraId="0F954AC1" w14:textId="34BD11D2" w:rsidR="001917E6" w:rsidRPr="00412994" w:rsidRDefault="001917E6" w:rsidP="00C219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szCs w:val="24"/>
          <w:shd w:val="clear" w:color="auto" w:fill="FFFFFF"/>
        </w:rPr>
      </w:pPr>
      <w:r w:rsidRPr="00412994">
        <w:rPr>
          <w:rFonts w:cs="Arial"/>
          <w:color w:val="000000" w:themeColor="text1"/>
          <w:szCs w:val="24"/>
          <w:shd w:val="clear" w:color="auto" w:fill="FFFFFF"/>
        </w:rPr>
        <w:t>The EAT upheld the Tribunal’s decision, emphasizing that the editor’s remark lacked malicious intent and was not anti-Catholic, and that a reasonable person would have understood the context.</w:t>
      </w:r>
    </w:p>
    <w:p w14:paraId="5CE0AC59" w14:textId="77777777" w:rsidR="001917E6" w:rsidRPr="00412994" w:rsidRDefault="001917E6" w:rsidP="00C219AF">
      <w:pPr>
        <w:pStyle w:val="ListParagraph"/>
        <w:numPr>
          <w:ilvl w:val="0"/>
          <w:numId w:val="30"/>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szCs w:val="24"/>
          <w:shd w:val="clear" w:color="auto" w:fill="FFFFFF"/>
        </w:rPr>
      </w:pPr>
      <w:r w:rsidRPr="00412994">
        <w:rPr>
          <w:rFonts w:cs="Arial"/>
          <w:color w:val="000000" w:themeColor="text1"/>
          <w:szCs w:val="24"/>
          <w:shd w:val="clear" w:color="auto" w:fill="FFFFFF"/>
        </w:rPr>
        <w:t>The case highlights the importance of context in harassment claims and suggests that employers should provide equality and diversity training, and handle complaints seriously to prevent potential claims.</w:t>
      </w:r>
    </w:p>
    <w:p w14:paraId="71863549" w14:textId="20D311FC" w:rsidR="00C219AF" w:rsidRDefault="00C219AF">
      <w:pPr>
        <w:rPr>
          <w:rFonts w:cs="Arial"/>
          <w:color w:val="000000" w:themeColor="text1"/>
        </w:rPr>
      </w:pPr>
      <w:r>
        <w:rPr>
          <w:rFonts w:cs="Arial"/>
          <w:color w:val="000000" w:themeColor="text1"/>
        </w:rPr>
        <w:br w:type="page"/>
      </w:r>
    </w:p>
    <w:p w14:paraId="76E04D91" w14:textId="7B02B288" w:rsidR="00C565FC" w:rsidRPr="00C219AF" w:rsidRDefault="001917E6" w:rsidP="00C219AF">
      <w:pPr>
        <w:pStyle w:val="Heading1"/>
        <w:spacing w:line="240" w:lineRule="auto"/>
        <w:jc w:val="both"/>
        <w:rPr>
          <w:b/>
          <w:bCs/>
        </w:rPr>
      </w:pPr>
      <w:bookmarkStart w:id="5" w:name="_Toc181889853"/>
      <w:r w:rsidRPr="00C219AF">
        <w:rPr>
          <w:b/>
          <w:bCs/>
        </w:rPr>
        <w:lastRenderedPageBreak/>
        <w:t xml:space="preserve">Behaviour that may lead to </w:t>
      </w:r>
      <w:proofErr w:type="gramStart"/>
      <w:r w:rsidRPr="00C219AF">
        <w:rPr>
          <w:b/>
          <w:bCs/>
        </w:rPr>
        <w:t>harassment</w:t>
      </w:r>
      <w:bookmarkEnd w:id="5"/>
      <w:proofErr w:type="gramEnd"/>
    </w:p>
    <w:p w14:paraId="7B21A5BE" w14:textId="77777777" w:rsidR="001917E6" w:rsidRPr="00412994" w:rsidRDefault="001917E6" w:rsidP="00C219AF">
      <w:pPr>
        <w:spacing w:after="0" w:line="240" w:lineRule="auto"/>
        <w:jc w:val="both"/>
        <w:rPr>
          <w:rFonts w:cs="Arial"/>
        </w:rPr>
      </w:pPr>
    </w:p>
    <w:p w14:paraId="49498767" w14:textId="339BF43F" w:rsidR="001917E6" w:rsidRPr="00412994" w:rsidRDefault="001917E6" w:rsidP="00173D09">
      <w:pPr>
        <w:pStyle w:val="Heading2"/>
      </w:pPr>
      <w:bookmarkStart w:id="6" w:name="_Toc181889854"/>
      <w:r w:rsidRPr="00412994">
        <w:t>Bullying</w:t>
      </w:r>
      <w:bookmarkEnd w:id="6"/>
    </w:p>
    <w:p w14:paraId="3A981C54" w14:textId="77777777" w:rsidR="001917E6" w:rsidRPr="00412994" w:rsidRDefault="001917E6" w:rsidP="00C219AF">
      <w:pPr>
        <w:spacing w:after="0" w:line="240" w:lineRule="auto"/>
        <w:jc w:val="both"/>
        <w:rPr>
          <w:rFonts w:cs="Arial"/>
        </w:rPr>
      </w:pPr>
      <w:r w:rsidRPr="00412994">
        <w:rPr>
          <w:rFonts w:cs="Arial"/>
        </w:rPr>
        <w:t xml:space="preserve">Bullying is unwanted behaviour from a person or group that is offensive, intimidating, malicious, or insulting, and it involves an abuse or misuse of power that undermines, humiliates, or causes physical or emotional harm to someone. </w:t>
      </w:r>
    </w:p>
    <w:p w14:paraId="6D627199" w14:textId="77777777" w:rsidR="001917E6" w:rsidRPr="00412994" w:rsidRDefault="001917E6" w:rsidP="00C219AF">
      <w:pPr>
        <w:spacing w:after="0" w:line="240" w:lineRule="auto"/>
        <w:jc w:val="both"/>
        <w:rPr>
          <w:rFonts w:cs="Arial"/>
        </w:rPr>
      </w:pPr>
      <w:r w:rsidRPr="00412994">
        <w:rPr>
          <w:rFonts w:cs="Arial"/>
        </w:rPr>
        <w:t xml:space="preserve">This behaviour can be a regular pattern or a one-off incident, and it can occur face-to-face, on social media, in emails or calls, and in various work-related situations. </w:t>
      </w:r>
    </w:p>
    <w:p w14:paraId="36147D11" w14:textId="67561DF5" w:rsidR="001917E6" w:rsidRPr="00412994" w:rsidRDefault="001917E6" w:rsidP="00C219AF">
      <w:pPr>
        <w:spacing w:after="0" w:line="240" w:lineRule="auto"/>
        <w:jc w:val="both"/>
        <w:rPr>
          <w:rFonts w:cs="Arial"/>
        </w:rPr>
      </w:pPr>
      <w:r w:rsidRPr="00412994">
        <w:rPr>
          <w:rFonts w:cs="Arial"/>
        </w:rPr>
        <w:t>Bullying is not always obvious or noticed by others. Under the Equality Act 2010, bullying behaviour may constitute harassment if it relates to a protected characteristic.</w:t>
      </w:r>
    </w:p>
    <w:p w14:paraId="4B727751" w14:textId="77777777" w:rsidR="001917E6" w:rsidRPr="00412994" w:rsidRDefault="001917E6" w:rsidP="00C219AF">
      <w:pPr>
        <w:spacing w:after="0" w:line="240" w:lineRule="auto"/>
        <w:jc w:val="both"/>
        <w:rPr>
          <w:rFonts w:cs="Arial"/>
        </w:rPr>
      </w:pPr>
    </w:p>
    <w:p w14:paraId="308A5957" w14:textId="11733D89" w:rsidR="001917E6" w:rsidRPr="00412994" w:rsidRDefault="001917E6" w:rsidP="00173D09">
      <w:pPr>
        <w:pStyle w:val="Heading2"/>
      </w:pPr>
      <w:bookmarkStart w:id="7" w:name="_Toc181889855"/>
      <w:r w:rsidRPr="00412994">
        <w:t>Workplace banter</w:t>
      </w:r>
      <w:bookmarkEnd w:id="7"/>
    </w:p>
    <w:p w14:paraId="236F4012" w14:textId="46923D64" w:rsidR="001917E6" w:rsidRPr="00412994" w:rsidRDefault="001917E6" w:rsidP="00C219AF">
      <w:pPr>
        <w:spacing w:after="0" w:line="240" w:lineRule="auto"/>
        <w:jc w:val="both"/>
        <w:rPr>
          <w:rFonts w:cs="Arial"/>
        </w:rPr>
      </w:pPr>
      <w:r w:rsidRPr="00412994">
        <w:rPr>
          <w:rFonts w:cs="Arial"/>
        </w:rPr>
        <w:t>Banter is the playful and friendly exchange of teasing remarks, often seen as good-natured. However, banter can easily cross the line into harassment, especially when it involves sexual content, jokes about different racial backgrounds, religious beliefs, or practices, or comments that demean older people. What may seem harmless to one person can feel inappropriate or offensive to another, making it crucial to consider the impact on the recipient. You do not need to be the direct target of the behaviour to find it offensive. Even if an employee has previously tolerated or participated in banter, it does not mean the conduct is welcome. Colleagues have varying sensitivities and views, so being aware of your own behaviour and its potential impact is key to fostering an inclusive and respectful workplace. When in doubt, it is best to refrain from making comments that could be interpreted as offensive.</w:t>
      </w:r>
    </w:p>
    <w:p w14:paraId="64A84F30" w14:textId="0D0C6479" w:rsidR="00C565FC" w:rsidRPr="00412994" w:rsidRDefault="004475F9"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b/>
          <w:bCs/>
          <w:color w:val="000000" w:themeColor="text1"/>
          <w:u w:val="single"/>
        </w:rPr>
      </w:pPr>
      <w:r w:rsidRPr="00412994">
        <w:rPr>
          <w:rFonts w:cs="Arial"/>
          <w:b/>
          <w:bCs/>
          <w:color w:val="000000" w:themeColor="text1"/>
          <w:u w:val="single"/>
        </w:rPr>
        <w:t xml:space="preserve">CASE REVIEW: </w:t>
      </w:r>
      <w:r w:rsidR="00C565FC" w:rsidRPr="00412994">
        <w:rPr>
          <w:rFonts w:cs="Arial"/>
          <w:b/>
          <w:bCs/>
          <w:color w:val="000000" w:themeColor="text1"/>
          <w:u w:val="single"/>
        </w:rPr>
        <w:t xml:space="preserve">Munchkins Restaurant Ltd and </w:t>
      </w:r>
      <w:proofErr w:type="spellStart"/>
      <w:r w:rsidR="00C565FC" w:rsidRPr="00412994">
        <w:rPr>
          <w:rFonts w:cs="Arial"/>
          <w:b/>
          <w:bCs/>
          <w:color w:val="000000" w:themeColor="text1"/>
          <w:u w:val="single"/>
        </w:rPr>
        <w:t>anor</w:t>
      </w:r>
      <w:proofErr w:type="spellEnd"/>
      <w:r w:rsidR="00C565FC" w:rsidRPr="00412994">
        <w:rPr>
          <w:rFonts w:cs="Arial"/>
          <w:b/>
          <w:bCs/>
          <w:color w:val="000000" w:themeColor="text1"/>
          <w:u w:val="single"/>
        </w:rPr>
        <w:t xml:space="preserve"> v </w:t>
      </w:r>
      <w:proofErr w:type="spellStart"/>
      <w:r w:rsidR="00C565FC" w:rsidRPr="00412994">
        <w:rPr>
          <w:rFonts w:cs="Arial"/>
          <w:b/>
          <w:bCs/>
          <w:color w:val="000000" w:themeColor="text1"/>
          <w:u w:val="single"/>
        </w:rPr>
        <w:t>Karmazyn</w:t>
      </w:r>
      <w:proofErr w:type="spellEnd"/>
      <w:r w:rsidR="00C565FC" w:rsidRPr="00412994">
        <w:rPr>
          <w:rFonts w:cs="Arial"/>
          <w:b/>
          <w:bCs/>
          <w:color w:val="000000" w:themeColor="text1"/>
          <w:u w:val="single"/>
        </w:rPr>
        <w:t xml:space="preserve"> and </w:t>
      </w:r>
      <w:proofErr w:type="spellStart"/>
      <w:r w:rsidR="00C565FC" w:rsidRPr="00412994">
        <w:rPr>
          <w:rFonts w:cs="Arial"/>
          <w:b/>
          <w:bCs/>
          <w:color w:val="000000" w:themeColor="text1"/>
          <w:u w:val="single"/>
        </w:rPr>
        <w:t>ors</w:t>
      </w:r>
      <w:proofErr w:type="spellEnd"/>
      <w:r w:rsidR="00C565FC" w:rsidRPr="00412994">
        <w:rPr>
          <w:rFonts w:cs="Arial"/>
          <w:b/>
          <w:bCs/>
          <w:color w:val="000000" w:themeColor="text1"/>
          <w:u w:val="single"/>
        </w:rPr>
        <w:t xml:space="preserve"> </w:t>
      </w:r>
    </w:p>
    <w:p w14:paraId="0162C9AC" w14:textId="77777777" w:rsidR="001917E6" w:rsidRPr="00412994" w:rsidRDefault="001917E6" w:rsidP="00C219AF">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case established that participation in sexual banter does not preclude a finding of sexual harassment, as the claimants used banter as a coping strategy.</w:t>
      </w:r>
    </w:p>
    <w:p w14:paraId="45DF809C" w14:textId="77777777" w:rsidR="001917E6" w:rsidRPr="00412994" w:rsidRDefault="001917E6" w:rsidP="00C219AF">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claimants, waitresses at Munchkins Restaurant, were subjected to sexual comments and shown explicit materials by the 73-year-old controlling shareholder, leading to an offensive work environment.</w:t>
      </w:r>
    </w:p>
    <w:p w14:paraId="2A55B232" w14:textId="77777777" w:rsidR="001917E6" w:rsidRPr="00412994" w:rsidRDefault="001917E6" w:rsidP="00C219AF">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tribunal found that the shareholder’s conduct, despite being framed as banter, constituted unwanted conduct that violated the claimants’ dignity and created an intimidating, degrading, humiliating, or offensive environment.</w:t>
      </w:r>
    </w:p>
    <w:p w14:paraId="638E5970" w14:textId="56D83D8F" w:rsidR="001917E6" w:rsidRPr="00412994" w:rsidRDefault="001917E6" w:rsidP="00C219AF">
      <w:pPr>
        <w:pStyle w:val="ListParagraph"/>
        <w:numPr>
          <w:ilvl w:val="0"/>
          <w:numId w:val="32"/>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tribunal upheld the claims of sex discrimination, harassment, and constructive dismissal, concluding that the claimants had been constructively dismissed due to the hostile work environment.</w:t>
      </w:r>
    </w:p>
    <w:p w14:paraId="6CE65126" w14:textId="77777777" w:rsidR="00A91371" w:rsidRDefault="00A91371" w:rsidP="00C219AF">
      <w:pPr>
        <w:shd w:val="clear" w:color="auto" w:fill="FFFFFF"/>
        <w:spacing w:before="100" w:beforeAutospacing="1" w:after="0" w:line="240" w:lineRule="auto"/>
        <w:jc w:val="both"/>
        <w:rPr>
          <w:rFonts w:cs="Arial"/>
          <w:b/>
          <w:bCs/>
          <w:color w:val="000000" w:themeColor="text1"/>
          <w:u w:val="single"/>
        </w:rPr>
      </w:pPr>
    </w:p>
    <w:p w14:paraId="664CF7CB" w14:textId="77777777" w:rsidR="00412994" w:rsidRPr="00412994" w:rsidRDefault="00412994" w:rsidP="00C219AF">
      <w:pPr>
        <w:shd w:val="clear" w:color="auto" w:fill="FFFFFF"/>
        <w:spacing w:before="100" w:beforeAutospacing="1" w:after="0" w:line="240" w:lineRule="auto"/>
        <w:jc w:val="both"/>
        <w:rPr>
          <w:rFonts w:cs="Arial"/>
          <w:b/>
          <w:bCs/>
          <w:color w:val="000000" w:themeColor="text1"/>
          <w:u w:val="single"/>
        </w:rPr>
      </w:pPr>
    </w:p>
    <w:p w14:paraId="73FA5A42" w14:textId="70EB87A8" w:rsidR="004475F9" w:rsidRPr="00412994" w:rsidRDefault="004475F9"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b/>
          <w:bCs/>
          <w:color w:val="000000" w:themeColor="text1"/>
          <w:u w:val="single"/>
        </w:rPr>
      </w:pPr>
      <w:r w:rsidRPr="00412994">
        <w:rPr>
          <w:rFonts w:cs="Arial"/>
          <w:b/>
          <w:bCs/>
          <w:color w:val="000000" w:themeColor="text1"/>
          <w:u w:val="single"/>
        </w:rPr>
        <w:t>CASE REVIEW: Evans v Xactly Corporation Limited (EAT)</w:t>
      </w:r>
    </w:p>
    <w:p w14:paraId="1A03FE25" w14:textId="77777777" w:rsidR="001917E6" w:rsidRPr="00412994" w:rsidRDefault="001917E6" w:rsidP="00C219A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claimant, who had type 1 diabetes and ties to the travelling community, was subjected to offensive nicknames at work but had also participated in similar banter.</w:t>
      </w:r>
    </w:p>
    <w:p w14:paraId="26397EB3" w14:textId="77777777" w:rsidR="001917E6" w:rsidRPr="00412994" w:rsidRDefault="001917E6" w:rsidP="00C219A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The Employment Tribunal (ET) dismissed his claims of harassment, race, and disability discrimination, finding that the office culture involved mutual teasing and </w:t>
      </w:r>
      <w:r w:rsidRPr="00412994">
        <w:rPr>
          <w:rFonts w:cs="Arial"/>
          <w:color w:val="000000" w:themeColor="text1"/>
        </w:rPr>
        <w:lastRenderedPageBreak/>
        <w:t>that the claimant had not provided medical evidence linking his weight to his diabetes.</w:t>
      </w:r>
    </w:p>
    <w:p w14:paraId="06BE67C8" w14:textId="77777777" w:rsidR="001917E6" w:rsidRPr="00412994" w:rsidRDefault="001917E6" w:rsidP="00C219A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ET concluded that the comments were not made with knowledge of the claimant’s ties to the travelling community and that the claimant had not raised complaints until after receiving a disciplinary letter.</w:t>
      </w:r>
    </w:p>
    <w:p w14:paraId="43B974E7" w14:textId="0B77BC88" w:rsidR="00862718" w:rsidRPr="00412994" w:rsidRDefault="001917E6" w:rsidP="00C219AF">
      <w:pPr>
        <w:pStyle w:val="ListParagraph"/>
        <w:numPr>
          <w:ilvl w:val="0"/>
          <w:numId w:val="3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The Employment Appeal Tribunal (EAT) upheld the ET’s decision, emphasizing that the claimant’s participation in similar </w:t>
      </w:r>
      <w:r w:rsidR="00862718" w:rsidRPr="00412994">
        <w:rPr>
          <w:rFonts w:cs="Arial"/>
          <w:color w:val="000000" w:themeColor="text1"/>
        </w:rPr>
        <w:t>behaviour</w:t>
      </w:r>
      <w:r w:rsidRPr="00412994">
        <w:rPr>
          <w:rFonts w:cs="Arial"/>
          <w:color w:val="000000" w:themeColor="text1"/>
        </w:rPr>
        <w:t xml:space="preserve"> and the overall office culture meant it was not reasonable for him to feel harassed.</w:t>
      </w:r>
    </w:p>
    <w:p w14:paraId="63CE40EF" w14:textId="77777777" w:rsidR="00862718" w:rsidRPr="00412994" w:rsidRDefault="00862718" w:rsidP="00C219AF">
      <w:pPr>
        <w:pStyle w:val="Heading1"/>
        <w:numPr>
          <w:ilvl w:val="0"/>
          <w:numId w:val="0"/>
        </w:numPr>
        <w:spacing w:line="240" w:lineRule="auto"/>
        <w:jc w:val="both"/>
      </w:pPr>
    </w:p>
    <w:p w14:paraId="1B0901D9" w14:textId="77777777" w:rsidR="00862718" w:rsidRPr="00412994" w:rsidRDefault="00862718" w:rsidP="00C219AF">
      <w:pPr>
        <w:spacing w:after="0" w:line="240" w:lineRule="auto"/>
        <w:jc w:val="both"/>
        <w:rPr>
          <w:rFonts w:cs="Arial"/>
        </w:rPr>
      </w:pPr>
    </w:p>
    <w:p w14:paraId="542E151F" w14:textId="77777777" w:rsidR="00862718" w:rsidRDefault="00862718" w:rsidP="00C219AF">
      <w:pPr>
        <w:spacing w:after="0" w:line="240" w:lineRule="auto"/>
        <w:jc w:val="both"/>
        <w:rPr>
          <w:rFonts w:cs="Arial"/>
        </w:rPr>
      </w:pPr>
    </w:p>
    <w:p w14:paraId="02F2CCF7" w14:textId="77777777" w:rsidR="00412994" w:rsidRDefault="00412994" w:rsidP="00C219AF">
      <w:pPr>
        <w:spacing w:after="0" w:line="240" w:lineRule="auto"/>
        <w:jc w:val="both"/>
        <w:rPr>
          <w:rFonts w:cs="Arial"/>
        </w:rPr>
      </w:pPr>
    </w:p>
    <w:p w14:paraId="12CC9788" w14:textId="77777777" w:rsidR="00412994" w:rsidRDefault="00412994" w:rsidP="00C219AF">
      <w:pPr>
        <w:spacing w:after="0" w:line="240" w:lineRule="auto"/>
        <w:jc w:val="both"/>
        <w:rPr>
          <w:rFonts w:cs="Arial"/>
        </w:rPr>
      </w:pPr>
    </w:p>
    <w:p w14:paraId="55CFC834" w14:textId="77777777" w:rsidR="00412994" w:rsidRDefault="00412994" w:rsidP="00C219AF">
      <w:pPr>
        <w:spacing w:after="0" w:line="240" w:lineRule="auto"/>
        <w:jc w:val="both"/>
        <w:rPr>
          <w:rFonts w:cs="Arial"/>
        </w:rPr>
      </w:pPr>
    </w:p>
    <w:p w14:paraId="03AC5281" w14:textId="77777777" w:rsidR="00412994" w:rsidRDefault="00412994" w:rsidP="00C219AF">
      <w:pPr>
        <w:spacing w:after="0" w:line="240" w:lineRule="auto"/>
        <w:jc w:val="both"/>
        <w:rPr>
          <w:rFonts w:cs="Arial"/>
        </w:rPr>
      </w:pPr>
    </w:p>
    <w:p w14:paraId="7CD20728" w14:textId="77777777" w:rsidR="00412994" w:rsidRDefault="00412994" w:rsidP="00C219AF">
      <w:pPr>
        <w:spacing w:after="0" w:line="240" w:lineRule="auto"/>
        <w:jc w:val="both"/>
        <w:rPr>
          <w:rFonts w:cs="Arial"/>
        </w:rPr>
      </w:pPr>
    </w:p>
    <w:p w14:paraId="0C993A41" w14:textId="77777777" w:rsidR="00412994" w:rsidRDefault="00412994" w:rsidP="00C219AF">
      <w:pPr>
        <w:spacing w:after="0" w:line="240" w:lineRule="auto"/>
        <w:jc w:val="both"/>
        <w:rPr>
          <w:rFonts w:cs="Arial"/>
        </w:rPr>
      </w:pPr>
    </w:p>
    <w:p w14:paraId="105783F4" w14:textId="77777777" w:rsidR="00412994" w:rsidRDefault="00412994" w:rsidP="00C219AF">
      <w:pPr>
        <w:spacing w:after="0" w:line="240" w:lineRule="auto"/>
        <w:jc w:val="both"/>
        <w:rPr>
          <w:rFonts w:cs="Arial"/>
        </w:rPr>
      </w:pPr>
    </w:p>
    <w:p w14:paraId="7BCC04ED" w14:textId="77777777" w:rsidR="00412994" w:rsidRDefault="00412994" w:rsidP="00C219AF">
      <w:pPr>
        <w:spacing w:after="0" w:line="240" w:lineRule="auto"/>
        <w:jc w:val="both"/>
        <w:rPr>
          <w:rFonts w:cs="Arial"/>
        </w:rPr>
      </w:pPr>
    </w:p>
    <w:p w14:paraId="7CA47D07" w14:textId="77777777" w:rsidR="00412994" w:rsidRDefault="00412994" w:rsidP="00C219AF">
      <w:pPr>
        <w:spacing w:after="0" w:line="240" w:lineRule="auto"/>
        <w:jc w:val="both"/>
        <w:rPr>
          <w:rFonts w:cs="Arial"/>
        </w:rPr>
      </w:pPr>
    </w:p>
    <w:p w14:paraId="14EE188C" w14:textId="77777777" w:rsidR="00412994" w:rsidRDefault="00412994" w:rsidP="00C219AF">
      <w:pPr>
        <w:spacing w:after="0" w:line="240" w:lineRule="auto"/>
        <w:jc w:val="both"/>
        <w:rPr>
          <w:rFonts w:cs="Arial"/>
        </w:rPr>
      </w:pPr>
    </w:p>
    <w:p w14:paraId="185C3A2E" w14:textId="77777777" w:rsidR="00412994" w:rsidRDefault="00412994" w:rsidP="00C219AF">
      <w:pPr>
        <w:spacing w:after="0" w:line="240" w:lineRule="auto"/>
        <w:jc w:val="both"/>
        <w:rPr>
          <w:rFonts w:cs="Arial"/>
        </w:rPr>
      </w:pPr>
    </w:p>
    <w:p w14:paraId="57DB1B26" w14:textId="77777777" w:rsidR="00412994" w:rsidRDefault="00412994" w:rsidP="00C219AF">
      <w:pPr>
        <w:spacing w:after="0" w:line="240" w:lineRule="auto"/>
        <w:jc w:val="both"/>
        <w:rPr>
          <w:rFonts w:cs="Arial"/>
        </w:rPr>
      </w:pPr>
    </w:p>
    <w:p w14:paraId="189A2E27" w14:textId="77777777" w:rsidR="00412994" w:rsidRDefault="00412994" w:rsidP="00C219AF">
      <w:pPr>
        <w:spacing w:after="0" w:line="240" w:lineRule="auto"/>
        <w:jc w:val="both"/>
        <w:rPr>
          <w:rFonts w:cs="Arial"/>
        </w:rPr>
      </w:pPr>
    </w:p>
    <w:p w14:paraId="472CD64B" w14:textId="77777777" w:rsidR="00412994" w:rsidRPr="00412994" w:rsidRDefault="00412994" w:rsidP="00C219AF">
      <w:pPr>
        <w:spacing w:after="0" w:line="240" w:lineRule="auto"/>
        <w:jc w:val="both"/>
        <w:rPr>
          <w:rFonts w:cs="Arial"/>
        </w:rPr>
      </w:pPr>
    </w:p>
    <w:p w14:paraId="5559700F" w14:textId="77777777" w:rsidR="00862718" w:rsidRPr="00412994" w:rsidRDefault="00862718" w:rsidP="00C219AF">
      <w:pPr>
        <w:spacing w:after="0" w:line="240" w:lineRule="auto"/>
        <w:jc w:val="both"/>
        <w:rPr>
          <w:rFonts w:cs="Arial"/>
        </w:rPr>
      </w:pPr>
    </w:p>
    <w:p w14:paraId="484B241C" w14:textId="77777777" w:rsidR="00C219AF" w:rsidRDefault="00C219AF">
      <w:pPr>
        <w:rPr>
          <w:rFonts w:eastAsiaTheme="majorEastAsia" w:cs="Arial"/>
          <w:b/>
          <w:bCs/>
          <w:color w:val="00C0B5"/>
          <w:sz w:val="32"/>
          <w:szCs w:val="32"/>
        </w:rPr>
      </w:pPr>
      <w:r>
        <w:rPr>
          <w:b/>
          <w:bCs/>
        </w:rPr>
        <w:br w:type="page"/>
      </w:r>
    </w:p>
    <w:p w14:paraId="292501E9" w14:textId="44F00DB8" w:rsidR="000C5726" w:rsidRPr="00C219AF" w:rsidRDefault="000C5726" w:rsidP="00C219AF">
      <w:pPr>
        <w:pStyle w:val="Heading1"/>
        <w:spacing w:line="240" w:lineRule="auto"/>
        <w:jc w:val="both"/>
        <w:rPr>
          <w:b/>
          <w:bCs/>
        </w:rPr>
      </w:pPr>
      <w:bookmarkStart w:id="8" w:name="_Toc181889856"/>
      <w:r w:rsidRPr="00C219AF">
        <w:rPr>
          <w:b/>
          <w:bCs/>
        </w:rPr>
        <w:lastRenderedPageBreak/>
        <w:t>Sexual Harassment</w:t>
      </w:r>
      <w:bookmarkEnd w:id="8"/>
    </w:p>
    <w:p w14:paraId="76B59566" w14:textId="1E25D4F0" w:rsidR="00862718" w:rsidRPr="00412994"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Sexual harassment is unwanted conduct of a sexual nature that can affect both women and men, and it does not need to be directed at the victim to be considered harassment. Under Section 26 of the Equality Act 2010, harassment occurs if the conduct has the purpose or effect of violating a person’s dignity or creating an intimidating, hostile, degrading, humiliating, or offensive environment. </w:t>
      </w:r>
    </w:p>
    <w:p w14:paraId="50208CB0" w14:textId="77777777" w:rsidR="00862718" w:rsidRPr="00412994"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This includes a wide range of behaviours such as: </w:t>
      </w:r>
    </w:p>
    <w:p w14:paraId="1E59F177" w14:textId="2A9D9FDF"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sexual comments or jokes</w:t>
      </w:r>
    </w:p>
    <w:p w14:paraId="5A58D888" w14:textId="77777777"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displaying sexually graphic pictures, posters or photographs</w:t>
      </w:r>
    </w:p>
    <w:p w14:paraId="0B0E2EFE" w14:textId="4EF64F9B"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suggestive looks, staring or </w:t>
      </w:r>
      <w:proofErr w:type="gramStart"/>
      <w:r w:rsidRPr="00412994">
        <w:rPr>
          <w:rFonts w:cs="Arial"/>
          <w:color w:val="000000" w:themeColor="text1"/>
        </w:rPr>
        <w:t>leering</w:t>
      </w:r>
      <w:proofErr w:type="gramEnd"/>
    </w:p>
    <w:p w14:paraId="3A2D8F08" w14:textId="3F4B942D"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propositions and sexual advances</w:t>
      </w:r>
    </w:p>
    <w:p w14:paraId="00D4E7B3" w14:textId="33FEEAEA"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making promises in return for sexual favours</w:t>
      </w:r>
    </w:p>
    <w:p w14:paraId="02C95D94" w14:textId="44DAF89A"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sexual gestures</w:t>
      </w:r>
    </w:p>
    <w:p w14:paraId="021795F1" w14:textId="6125E076"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intrusive questions about a person’s private or sex life or a person discussing their own sex </w:t>
      </w:r>
      <w:proofErr w:type="gramStart"/>
      <w:r w:rsidRPr="00412994">
        <w:rPr>
          <w:rFonts w:cs="Arial"/>
          <w:color w:val="000000" w:themeColor="text1"/>
        </w:rPr>
        <w:t>life</w:t>
      </w:r>
      <w:proofErr w:type="gramEnd"/>
    </w:p>
    <w:p w14:paraId="5DDFECBE" w14:textId="3558BF22"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sexual posts or contact on social </w:t>
      </w:r>
      <w:proofErr w:type="gramStart"/>
      <w:r w:rsidRPr="00412994">
        <w:rPr>
          <w:rFonts w:cs="Arial"/>
          <w:color w:val="000000" w:themeColor="text1"/>
        </w:rPr>
        <w:t>media</w:t>
      </w:r>
      <w:proofErr w:type="gramEnd"/>
    </w:p>
    <w:p w14:paraId="728A0A56" w14:textId="6211A4E7"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spreading sexual rumours about a person</w:t>
      </w:r>
    </w:p>
    <w:p w14:paraId="34BB79C2" w14:textId="2DE71FD7"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sending sexually explicit emails or text messages</w:t>
      </w:r>
    </w:p>
    <w:p w14:paraId="7CD7FC80" w14:textId="71DB2663" w:rsidR="00862718" w:rsidRPr="00412994" w:rsidRDefault="00862718" w:rsidP="00C219AF">
      <w:pPr>
        <w:pStyle w:val="ListParagraph"/>
        <w:numPr>
          <w:ilvl w:val="0"/>
          <w:numId w:val="34"/>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unwelcome touching, hugging, massaging or </w:t>
      </w:r>
      <w:proofErr w:type="gramStart"/>
      <w:r w:rsidRPr="00412994">
        <w:rPr>
          <w:rFonts w:cs="Arial"/>
          <w:color w:val="000000" w:themeColor="text1"/>
        </w:rPr>
        <w:t>kissing</w:t>
      </w:r>
      <w:proofErr w:type="gramEnd"/>
    </w:p>
    <w:p w14:paraId="7DB428AF" w14:textId="2E1B2756" w:rsidR="00862718" w:rsidRPr="00412994"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EHRC guidance clarifies that sexual harassment can come from someone of the same or different sex, and even previously welcomed sexual conduct can become harassment if it becomes unwanted. The key factor is the impact on the victim, not the intent of the harasser.</w:t>
      </w:r>
    </w:p>
    <w:p w14:paraId="722ED6FA" w14:textId="2AAA089A" w:rsidR="000C5726" w:rsidRPr="00412994" w:rsidRDefault="000C5726"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b/>
          <w:bCs/>
          <w:color w:val="000000" w:themeColor="text1"/>
          <w:szCs w:val="24"/>
          <w:u w:val="single"/>
          <w:lang w:eastAsia="en-GB"/>
        </w:rPr>
      </w:pPr>
      <w:r w:rsidRPr="00412994">
        <w:rPr>
          <w:rFonts w:eastAsia="Times New Roman" w:cs="Arial"/>
          <w:b/>
          <w:bCs/>
          <w:color w:val="000000" w:themeColor="text1"/>
          <w:szCs w:val="24"/>
          <w:u w:val="single"/>
          <w:lang w:eastAsia="en-GB"/>
        </w:rPr>
        <w:t xml:space="preserve">CASE REVIEW: </w:t>
      </w:r>
      <w:proofErr w:type="spellStart"/>
      <w:r w:rsidRPr="00412994">
        <w:rPr>
          <w:rFonts w:eastAsia="Times New Roman" w:cs="Arial"/>
          <w:b/>
          <w:bCs/>
          <w:color w:val="000000" w:themeColor="text1"/>
          <w:szCs w:val="24"/>
          <w:u w:val="single"/>
          <w:lang w:eastAsia="en-GB"/>
        </w:rPr>
        <w:t>Moonsar</w:t>
      </w:r>
      <w:proofErr w:type="spellEnd"/>
      <w:r w:rsidRPr="00412994">
        <w:rPr>
          <w:rFonts w:eastAsia="Times New Roman" w:cs="Arial"/>
          <w:b/>
          <w:bCs/>
          <w:color w:val="000000" w:themeColor="text1"/>
          <w:szCs w:val="24"/>
          <w:u w:val="single"/>
          <w:lang w:eastAsia="en-GB"/>
        </w:rPr>
        <w:t xml:space="preserve"> v Fiveways Express Transport Ltd [2005] IRLR 9, EAT</w:t>
      </w:r>
    </w:p>
    <w:p w14:paraId="764F671F" w14:textId="77777777" w:rsidR="00862718" w:rsidRPr="00412994" w:rsidRDefault="00862718" w:rsidP="00C219AF">
      <w:pPr>
        <w:pStyle w:val="legclearfix"/>
        <w:numPr>
          <w:ilvl w:val="0"/>
          <w:numId w:val="35"/>
        </w:numPr>
        <w:pBdr>
          <w:top w:val="single" w:sz="4" w:space="1" w:color="auto"/>
          <w:left w:val="single" w:sz="4" w:space="4" w:color="auto"/>
          <w:bottom w:val="single" w:sz="4" w:space="1" w:color="auto"/>
          <w:right w:val="single" w:sz="4" w:space="4" w:color="auto"/>
        </w:pBdr>
        <w:shd w:val="clear" w:color="auto" w:fill="FFFFFF"/>
        <w:spacing w:after="0" w:afterAutospacing="0"/>
        <w:jc w:val="both"/>
        <w:rPr>
          <w:rStyle w:val="legds"/>
          <w:rFonts w:ascii="Arial" w:hAnsi="Arial" w:cs="Arial"/>
          <w:color w:val="1E1E1E"/>
        </w:rPr>
      </w:pPr>
      <w:r w:rsidRPr="00412994">
        <w:rPr>
          <w:rStyle w:val="legds"/>
          <w:rFonts w:ascii="Arial" w:hAnsi="Arial" w:cs="Arial"/>
          <w:color w:val="1E1E1E"/>
        </w:rPr>
        <w:t>The Employment Appeal Tribunal (EAT) ruled that the downloading of pornographic images by male colleagues in close proximity to a female employee, even if not shown to her, could amount to sexual harassment as it undermined her dignity and created an offensive environment.</w:t>
      </w:r>
    </w:p>
    <w:p w14:paraId="5F33F470" w14:textId="77777777" w:rsidR="00862718" w:rsidRPr="00412994" w:rsidRDefault="00862718" w:rsidP="00C219AF">
      <w:pPr>
        <w:pStyle w:val="legclearfix"/>
        <w:numPr>
          <w:ilvl w:val="0"/>
          <w:numId w:val="35"/>
        </w:numPr>
        <w:pBdr>
          <w:top w:val="single" w:sz="4" w:space="1" w:color="auto"/>
          <w:left w:val="single" w:sz="4" w:space="4" w:color="auto"/>
          <w:bottom w:val="single" w:sz="4" w:space="1" w:color="auto"/>
          <w:right w:val="single" w:sz="4" w:space="4" w:color="auto"/>
        </w:pBdr>
        <w:shd w:val="clear" w:color="auto" w:fill="FFFFFF"/>
        <w:spacing w:after="0" w:afterAutospacing="0"/>
        <w:jc w:val="both"/>
        <w:rPr>
          <w:rStyle w:val="legds"/>
          <w:rFonts w:ascii="Arial" w:hAnsi="Arial" w:cs="Arial"/>
          <w:color w:val="1E1E1E"/>
        </w:rPr>
      </w:pPr>
      <w:r w:rsidRPr="00412994">
        <w:rPr>
          <w:rStyle w:val="legds"/>
          <w:rFonts w:ascii="Arial" w:hAnsi="Arial" w:cs="Arial"/>
          <w:color w:val="1E1E1E"/>
        </w:rPr>
        <w:t xml:space="preserve">Mrs. Rea </w:t>
      </w:r>
      <w:proofErr w:type="spellStart"/>
      <w:r w:rsidRPr="00412994">
        <w:rPr>
          <w:rStyle w:val="legds"/>
          <w:rFonts w:ascii="Arial" w:hAnsi="Arial" w:cs="Arial"/>
          <w:color w:val="1E1E1E"/>
        </w:rPr>
        <w:t>Moonsar</w:t>
      </w:r>
      <w:proofErr w:type="spellEnd"/>
      <w:r w:rsidRPr="00412994">
        <w:rPr>
          <w:rStyle w:val="legds"/>
          <w:rFonts w:ascii="Arial" w:hAnsi="Arial" w:cs="Arial"/>
          <w:color w:val="1E1E1E"/>
        </w:rPr>
        <w:t>, a data entry clerk, was aware of her male colleagues downloading pornographic images while she worked nearby, although she did not complain at the time and only raised the issue after being dismissed for redundancy.</w:t>
      </w:r>
    </w:p>
    <w:p w14:paraId="67356758" w14:textId="77777777" w:rsidR="00862718" w:rsidRPr="00412994" w:rsidRDefault="00862718" w:rsidP="00C219AF">
      <w:pPr>
        <w:pStyle w:val="legclearfix"/>
        <w:numPr>
          <w:ilvl w:val="0"/>
          <w:numId w:val="35"/>
        </w:numPr>
        <w:pBdr>
          <w:top w:val="single" w:sz="4" w:space="1" w:color="auto"/>
          <w:left w:val="single" w:sz="4" w:space="4" w:color="auto"/>
          <w:bottom w:val="single" w:sz="4" w:space="1" w:color="auto"/>
          <w:right w:val="single" w:sz="4" w:space="4" w:color="auto"/>
        </w:pBdr>
        <w:shd w:val="clear" w:color="auto" w:fill="FFFFFF"/>
        <w:spacing w:after="0" w:afterAutospacing="0"/>
        <w:jc w:val="both"/>
        <w:rPr>
          <w:rStyle w:val="legds"/>
          <w:rFonts w:ascii="Arial" w:hAnsi="Arial" w:cs="Arial"/>
          <w:color w:val="1E1E1E"/>
        </w:rPr>
      </w:pPr>
      <w:r w:rsidRPr="00412994">
        <w:rPr>
          <w:rStyle w:val="legds"/>
          <w:rFonts w:ascii="Arial" w:hAnsi="Arial" w:cs="Arial"/>
          <w:color w:val="1E1E1E"/>
        </w:rPr>
        <w:t xml:space="preserve">The initial tribunal dismissed her claim, citing her lack of complaint and direct exposure to the images, but the EAT found that the </w:t>
      </w:r>
      <w:proofErr w:type="spellStart"/>
      <w:r w:rsidRPr="00412994">
        <w:rPr>
          <w:rStyle w:val="legds"/>
          <w:rFonts w:ascii="Arial" w:hAnsi="Arial" w:cs="Arial"/>
          <w:color w:val="1E1E1E"/>
        </w:rPr>
        <w:t>behavior</w:t>
      </w:r>
      <w:proofErr w:type="spellEnd"/>
      <w:r w:rsidRPr="00412994">
        <w:rPr>
          <w:rStyle w:val="legds"/>
          <w:rFonts w:ascii="Arial" w:hAnsi="Arial" w:cs="Arial"/>
          <w:color w:val="1E1E1E"/>
        </w:rPr>
        <w:t xml:space="preserve"> still constituted an affront to her dignity and was potentially less </w:t>
      </w:r>
      <w:proofErr w:type="spellStart"/>
      <w:r w:rsidRPr="00412994">
        <w:rPr>
          <w:rStyle w:val="legds"/>
          <w:rFonts w:ascii="Arial" w:hAnsi="Arial" w:cs="Arial"/>
          <w:color w:val="1E1E1E"/>
        </w:rPr>
        <w:t>favorable</w:t>
      </w:r>
      <w:proofErr w:type="spellEnd"/>
      <w:r w:rsidRPr="00412994">
        <w:rPr>
          <w:rStyle w:val="legds"/>
          <w:rFonts w:ascii="Arial" w:hAnsi="Arial" w:cs="Arial"/>
          <w:color w:val="1E1E1E"/>
        </w:rPr>
        <w:t xml:space="preserve"> treatment.</w:t>
      </w:r>
    </w:p>
    <w:p w14:paraId="685C6079" w14:textId="7FDF9D2B" w:rsidR="00173D09" w:rsidRPr="00173D09" w:rsidRDefault="00862718" w:rsidP="00173D09">
      <w:pPr>
        <w:pStyle w:val="legclearfix"/>
        <w:numPr>
          <w:ilvl w:val="0"/>
          <w:numId w:val="35"/>
        </w:numPr>
        <w:pBdr>
          <w:top w:val="single" w:sz="4" w:space="1" w:color="auto"/>
          <w:left w:val="single" w:sz="4" w:space="4" w:color="auto"/>
          <w:bottom w:val="single" w:sz="4" w:space="1" w:color="auto"/>
          <w:right w:val="single" w:sz="4" w:space="4" w:color="auto"/>
        </w:pBdr>
        <w:shd w:val="clear" w:color="auto" w:fill="FFFFFF"/>
        <w:spacing w:after="0" w:afterAutospacing="0"/>
        <w:jc w:val="both"/>
        <w:rPr>
          <w:rStyle w:val="legds"/>
          <w:rFonts w:ascii="Arial" w:hAnsi="Arial" w:cs="Arial"/>
          <w:color w:val="1E1E1E"/>
        </w:rPr>
      </w:pPr>
      <w:r w:rsidRPr="00412994">
        <w:rPr>
          <w:rStyle w:val="legds"/>
          <w:rFonts w:ascii="Arial" w:hAnsi="Arial" w:cs="Arial"/>
          <w:color w:val="1E1E1E"/>
        </w:rPr>
        <w:t>The EAT allowed the appeal, determining that the employer had committed an act of sexual discrimination, and remitted the case back to the employment tribunal to determine appropriate compensation.</w:t>
      </w:r>
    </w:p>
    <w:p w14:paraId="72671A73" w14:textId="77777777" w:rsidR="00173D09" w:rsidRDefault="00173D09" w:rsidP="00173D09">
      <w:pPr>
        <w:rPr>
          <w:shd w:val="clear" w:color="auto" w:fill="FFFFFF"/>
        </w:rPr>
      </w:pPr>
    </w:p>
    <w:p w14:paraId="0934B96D" w14:textId="409D6CE3" w:rsidR="000C5726" w:rsidRPr="00412994" w:rsidRDefault="000C5726" w:rsidP="00173D09">
      <w:pPr>
        <w:pStyle w:val="Heading2"/>
        <w:rPr>
          <w:shd w:val="clear" w:color="auto" w:fill="FFFFFF"/>
        </w:rPr>
      </w:pPr>
      <w:bookmarkStart w:id="9" w:name="_Toc181889857"/>
      <w:r w:rsidRPr="00412994">
        <w:rPr>
          <w:shd w:val="clear" w:color="auto" w:fill="FFFFFF"/>
        </w:rPr>
        <w:t>Vicarious liability</w:t>
      </w:r>
      <w:bookmarkEnd w:id="9"/>
    </w:p>
    <w:p w14:paraId="21EADBA6" w14:textId="77777777" w:rsidR="00862718" w:rsidRPr="00412994" w:rsidRDefault="00862718" w:rsidP="00C219AF">
      <w:pPr>
        <w:spacing w:after="0" w:line="240" w:lineRule="auto"/>
        <w:jc w:val="both"/>
        <w:rPr>
          <w:rFonts w:cs="Arial"/>
        </w:rPr>
      </w:pPr>
      <w:r w:rsidRPr="00412994">
        <w:rPr>
          <w:rFonts w:cs="Arial"/>
        </w:rPr>
        <w:t xml:space="preserve">Vicarious liability refers to the legal responsibility of employers for the actions of their employees or agents carried out in the course of employment. </w:t>
      </w:r>
    </w:p>
    <w:p w14:paraId="33223C5E" w14:textId="77777777" w:rsidR="00862718" w:rsidRPr="00412994" w:rsidRDefault="00862718" w:rsidP="00C219AF">
      <w:pPr>
        <w:spacing w:after="0" w:line="240" w:lineRule="auto"/>
        <w:jc w:val="both"/>
        <w:rPr>
          <w:rFonts w:cs="Arial"/>
        </w:rPr>
      </w:pPr>
      <w:r w:rsidRPr="00412994">
        <w:rPr>
          <w:rFonts w:cs="Arial"/>
        </w:rPr>
        <w:lastRenderedPageBreak/>
        <w:t xml:space="preserve">According to EHRC guidance, anything done by an employee during their employment is treated as also done by the employer, and similarly, actions by an agent with the principal’s authority are treated as done by the principal. This means that employers can be held liable for harassment between colleagues or from managers to employees, regardless of whether the employer was aware of or approved the harassment. However, under Section 109(4) of the Equality Act 2010, employers have a defence if they can demonstrate that they took all reasonable steps to prevent such conduct. </w:t>
      </w:r>
    </w:p>
    <w:p w14:paraId="46624AA7" w14:textId="65DBEAE3" w:rsidR="00862718" w:rsidRPr="00412994" w:rsidRDefault="00862718" w:rsidP="00C219AF">
      <w:pPr>
        <w:spacing w:after="0" w:line="240" w:lineRule="auto"/>
        <w:jc w:val="both"/>
        <w:rPr>
          <w:rFonts w:cs="Arial"/>
        </w:rPr>
      </w:pPr>
      <w:r w:rsidRPr="00412994">
        <w:rPr>
          <w:rFonts w:cs="Arial"/>
        </w:rPr>
        <w:t>The scope of “in the course of employment” includes not only activities performed at the workplace but also work-related events outside the workplace, such as employer-organised social events like Christmas parties, which are considered extensions of the workplace environment.</w:t>
      </w:r>
    </w:p>
    <w:p w14:paraId="3D0C91C7" w14:textId="77777777" w:rsidR="000C5726" w:rsidRPr="00412994" w:rsidRDefault="000C5726" w:rsidP="00C219AF">
      <w:pPr>
        <w:spacing w:after="0" w:line="240" w:lineRule="auto"/>
        <w:jc w:val="both"/>
        <w:rPr>
          <w:rFonts w:cs="Arial"/>
        </w:rPr>
      </w:pPr>
    </w:p>
    <w:p w14:paraId="64B41387" w14:textId="0A5BC7B6" w:rsidR="007A136B" w:rsidRPr="00412994" w:rsidRDefault="007A136B"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szCs w:val="24"/>
          <w:u w:val="single"/>
        </w:rPr>
      </w:pPr>
      <w:r w:rsidRPr="00412994">
        <w:rPr>
          <w:rFonts w:cs="Arial"/>
          <w:b/>
          <w:bCs/>
          <w:szCs w:val="24"/>
          <w:u w:val="single"/>
        </w:rPr>
        <w:t>CASE REVIEW: Nixon v Ross Coates Solicitors &amp; Anor UKEAT/0108/10/ZT</w:t>
      </w:r>
    </w:p>
    <w:p w14:paraId="487A890C" w14:textId="77777777" w:rsidR="00862718" w:rsidRPr="00412994" w:rsidRDefault="00862718" w:rsidP="00C219AF">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Workplace gossip about Ms. Nixon’s pregnancy, including suggestions about the paternity of her baby, was found to constitute harassment connected with pregnancy.</w:t>
      </w:r>
    </w:p>
    <w:p w14:paraId="1FE87637" w14:textId="77777777" w:rsidR="00862718" w:rsidRPr="00412994" w:rsidRDefault="00862718" w:rsidP="00C219AF">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Employment Appeal Tribunal (EAT) overturned the initial tribunal’s dismissal of her harassment and discrimination claims, ruling that the gossip created an offensive environment and amounted to sex and pregnancy discrimination.</w:t>
      </w:r>
    </w:p>
    <w:p w14:paraId="340BEDA7" w14:textId="6B586E0F" w:rsidR="00862718" w:rsidRPr="00412994" w:rsidRDefault="00862718" w:rsidP="00C219AF">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EAT upheld Ms. Nixon’s claim of constructive dismissal, stating that her employer’s failure to address her grievance and insistence on her return to an unfavourable work environment breached the implied term of trust and confidence.</w:t>
      </w:r>
    </w:p>
    <w:p w14:paraId="3DD8014C" w14:textId="1A89E246" w:rsidR="00412994" w:rsidRPr="00412994" w:rsidRDefault="00862718" w:rsidP="00C219AF">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EAT also ruled that the employment tribunal was wrong to reduce compensation by 90%, as Ms. Nixon’s conduct should only be assessed up to the time of her constructive dismissal, not after.</w:t>
      </w:r>
    </w:p>
    <w:p w14:paraId="12E7D0D6" w14:textId="77777777" w:rsidR="007A136B" w:rsidRPr="00412994" w:rsidRDefault="007A136B" w:rsidP="00C219AF">
      <w:pPr>
        <w:shd w:val="clear" w:color="auto" w:fill="FFFFFF"/>
        <w:spacing w:before="100" w:beforeAutospacing="1" w:after="0" w:line="240" w:lineRule="auto"/>
        <w:jc w:val="both"/>
        <w:rPr>
          <w:rFonts w:cs="Arial"/>
          <w:color w:val="000000" w:themeColor="text1"/>
        </w:rPr>
      </w:pPr>
    </w:p>
    <w:p w14:paraId="5E6EDB98" w14:textId="55B9C2BA" w:rsidR="007A136B" w:rsidRPr="00412994" w:rsidRDefault="007A136B" w:rsidP="00173D09">
      <w:pPr>
        <w:pStyle w:val="Heading2"/>
      </w:pPr>
      <w:bookmarkStart w:id="10" w:name="_Toc181889858"/>
      <w:r w:rsidRPr="00412994">
        <w:t>Third-party action</w:t>
      </w:r>
      <w:bookmarkEnd w:id="10"/>
    </w:p>
    <w:p w14:paraId="0AB056F0" w14:textId="77777777" w:rsidR="00862718" w:rsidRPr="00412994" w:rsidRDefault="00862718" w:rsidP="00C219AF">
      <w:pPr>
        <w:spacing w:after="0" w:line="240" w:lineRule="auto"/>
        <w:jc w:val="both"/>
        <w:rPr>
          <w:rFonts w:eastAsia="Times New Roman" w:cs="Arial"/>
          <w:szCs w:val="24"/>
          <w:lang w:eastAsia="en-GB"/>
        </w:rPr>
      </w:pPr>
      <w:r w:rsidRPr="00412994">
        <w:rPr>
          <w:rFonts w:eastAsia="Times New Roman" w:cs="Arial"/>
          <w:szCs w:val="24"/>
          <w:lang w:eastAsia="en-GB"/>
        </w:rPr>
        <w:t xml:space="preserve">While a worker cannot bring a stand-alone claim in the employment tribunal for third-party harassment, employers are still required to take reasonable steps to prevent sexual harassment of workers by third parties, such as clients and customers. </w:t>
      </w:r>
    </w:p>
    <w:p w14:paraId="749CA0EF" w14:textId="77777777" w:rsidR="00862718" w:rsidRPr="00412994" w:rsidRDefault="00862718" w:rsidP="00C219AF">
      <w:pPr>
        <w:spacing w:after="0" w:line="240" w:lineRule="auto"/>
        <w:jc w:val="both"/>
        <w:rPr>
          <w:rFonts w:eastAsia="Times New Roman" w:cs="Arial"/>
          <w:szCs w:val="24"/>
          <w:lang w:eastAsia="en-GB"/>
        </w:rPr>
      </w:pPr>
    </w:p>
    <w:p w14:paraId="5AF3BC7B" w14:textId="49C463EA" w:rsidR="00862718" w:rsidRDefault="00862718" w:rsidP="00C219AF">
      <w:pPr>
        <w:spacing w:after="0" w:line="240" w:lineRule="auto"/>
        <w:jc w:val="both"/>
        <w:rPr>
          <w:rFonts w:eastAsia="Times New Roman" w:cs="Arial"/>
          <w:szCs w:val="24"/>
          <w:lang w:eastAsia="en-GB"/>
        </w:rPr>
      </w:pPr>
      <w:r w:rsidRPr="00412994">
        <w:rPr>
          <w:rFonts w:eastAsia="Times New Roman" w:cs="Arial"/>
          <w:szCs w:val="24"/>
          <w:lang w:eastAsia="en-GB"/>
        </w:rPr>
        <w:t>This preventative duty is emphasised in the guidance, highlighting the responsibility of employers to protect their employees from such harassment. If an employer fails to take appropriate action against third-party harassment, the EHRC can become involved to address the issue and ensure compliance with the necessary standards.</w:t>
      </w:r>
    </w:p>
    <w:p w14:paraId="26C0F676" w14:textId="77777777" w:rsidR="00412994" w:rsidRDefault="00412994" w:rsidP="00C219AF">
      <w:pPr>
        <w:spacing w:after="0" w:line="240" w:lineRule="auto"/>
        <w:jc w:val="both"/>
        <w:rPr>
          <w:rFonts w:eastAsia="Times New Roman" w:cs="Arial"/>
          <w:szCs w:val="24"/>
          <w:lang w:eastAsia="en-GB"/>
        </w:rPr>
      </w:pPr>
    </w:p>
    <w:p w14:paraId="65C316A5" w14:textId="77777777" w:rsidR="00412994" w:rsidRPr="00412994" w:rsidRDefault="00412994" w:rsidP="00C219AF">
      <w:pPr>
        <w:spacing w:after="0" w:line="240" w:lineRule="auto"/>
        <w:jc w:val="both"/>
        <w:rPr>
          <w:rFonts w:eastAsia="Times New Roman" w:cs="Arial"/>
          <w:szCs w:val="24"/>
          <w:lang w:eastAsia="en-GB"/>
        </w:rPr>
      </w:pPr>
    </w:p>
    <w:p w14:paraId="5392AF7F" w14:textId="77777777" w:rsidR="00862718" w:rsidRPr="00412994" w:rsidRDefault="00862718" w:rsidP="00C219AF">
      <w:pPr>
        <w:spacing w:after="0" w:line="240" w:lineRule="auto"/>
        <w:jc w:val="both"/>
        <w:rPr>
          <w:rFonts w:eastAsia="Times New Roman" w:cs="Arial"/>
          <w:szCs w:val="24"/>
          <w:lang w:eastAsia="en-GB"/>
        </w:rPr>
      </w:pPr>
    </w:p>
    <w:p w14:paraId="5243B431" w14:textId="77777777" w:rsidR="00862718" w:rsidRPr="00412994" w:rsidRDefault="00862718"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111111"/>
          <w:sz w:val="8"/>
          <w:szCs w:val="6"/>
          <w:u w:val="single"/>
          <w:shd w:val="clear" w:color="auto" w:fill="FFFFFF"/>
        </w:rPr>
      </w:pPr>
    </w:p>
    <w:p w14:paraId="02E4971A" w14:textId="0AFE20F9" w:rsidR="00862718" w:rsidRPr="00412994" w:rsidRDefault="00862718"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202526"/>
          <w:u w:val="single"/>
          <w:shd w:val="clear" w:color="auto" w:fill="FFFFFF"/>
        </w:rPr>
      </w:pPr>
      <w:r w:rsidRPr="00412994">
        <w:rPr>
          <w:rFonts w:cs="Arial"/>
          <w:b/>
          <w:bCs/>
          <w:color w:val="111111"/>
          <w:u w:val="single"/>
          <w:shd w:val="clear" w:color="auto" w:fill="FFFFFF"/>
        </w:rPr>
        <w:t xml:space="preserve">CASE REVIEW: Burton and </w:t>
      </w:r>
      <w:proofErr w:type="spellStart"/>
      <w:r w:rsidRPr="00412994">
        <w:rPr>
          <w:rFonts w:cs="Arial"/>
          <w:b/>
          <w:bCs/>
          <w:color w:val="111111"/>
          <w:u w:val="single"/>
          <w:shd w:val="clear" w:color="auto" w:fill="FFFFFF"/>
        </w:rPr>
        <w:t>Rhule</w:t>
      </w:r>
      <w:proofErr w:type="spellEnd"/>
      <w:r w:rsidRPr="00412994">
        <w:rPr>
          <w:rFonts w:cs="Arial"/>
          <w:b/>
          <w:bCs/>
          <w:color w:val="111111"/>
          <w:u w:val="single"/>
          <w:shd w:val="clear" w:color="auto" w:fill="FFFFFF"/>
        </w:rPr>
        <w:t xml:space="preserve"> v De Vere Hotels [1996] IRLRL 596</w:t>
      </w:r>
    </w:p>
    <w:p w14:paraId="52AA6F29" w14:textId="77777777" w:rsidR="007A136B" w:rsidRPr="00412994" w:rsidRDefault="007A136B" w:rsidP="00C219AF">
      <w:pPr>
        <w:pBdr>
          <w:top w:val="single" w:sz="4" w:space="1" w:color="auto"/>
          <w:left w:val="single" w:sz="4" w:space="4" w:color="auto"/>
          <w:bottom w:val="single" w:sz="4" w:space="1" w:color="auto"/>
          <w:right w:val="single" w:sz="4" w:space="4" w:color="auto"/>
        </w:pBdr>
        <w:spacing w:after="0" w:line="240" w:lineRule="auto"/>
        <w:jc w:val="both"/>
        <w:rPr>
          <w:rFonts w:eastAsia="Times New Roman" w:cs="Arial"/>
          <w:szCs w:val="24"/>
          <w:lang w:eastAsia="en-GB"/>
        </w:rPr>
      </w:pPr>
    </w:p>
    <w:p w14:paraId="02F9C8BB" w14:textId="77777777" w:rsidR="00862718" w:rsidRPr="00412994" w:rsidRDefault="00862718" w:rsidP="00C219AF">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cs="Arial"/>
          <w:color w:val="202526"/>
          <w:shd w:val="clear" w:color="auto" w:fill="FFFFFF"/>
        </w:rPr>
      </w:pPr>
      <w:r w:rsidRPr="00412994">
        <w:rPr>
          <w:rFonts w:cs="Arial"/>
          <w:color w:val="202526"/>
          <w:shd w:val="clear" w:color="auto" w:fill="FFFFFF"/>
        </w:rPr>
        <w:t>Bernard Manning, a comedian, performed at a hotel event where his act included racist terminology that offended two black employees working there.</w:t>
      </w:r>
    </w:p>
    <w:p w14:paraId="439657D2" w14:textId="77777777" w:rsidR="00862718" w:rsidRPr="00412994" w:rsidRDefault="00862718" w:rsidP="00C219AF">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cs="Arial"/>
          <w:color w:val="202526"/>
          <w:shd w:val="clear" w:color="auto" w:fill="FFFFFF"/>
        </w:rPr>
      </w:pPr>
      <w:r w:rsidRPr="00412994">
        <w:rPr>
          <w:rFonts w:cs="Arial"/>
          <w:color w:val="202526"/>
          <w:shd w:val="clear" w:color="auto" w:fill="FFFFFF"/>
        </w:rPr>
        <w:t>The Employment Appeal Tribunal (EAT) found that the hotel was liable for the harassment experienced by the employees.</w:t>
      </w:r>
    </w:p>
    <w:p w14:paraId="79B3DB5F" w14:textId="77777777" w:rsidR="00862718" w:rsidRPr="00412994" w:rsidRDefault="00862718" w:rsidP="00C219AF">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cs="Arial"/>
          <w:color w:val="202526"/>
          <w:shd w:val="clear" w:color="auto" w:fill="FFFFFF"/>
        </w:rPr>
      </w:pPr>
      <w:r w:rsidRPr="00412994">
        <w:rPr>
          <w:rFonts w:cs="Arial"/>
          <w:color w:val="202526"/>
          <w:shd w:val="clear" w:color="auto" w:fill="FFFFFF"/>
        </w:rPr>
        <w:t>The hotel was deemed to have not taken sufficient steps to prevent the harassment, which was within its control.</w:t>
      </w:r>
    </w:p>
    <w:p w14:paraId="03F3B251" w14:textId="77777777" w:rsidR="00862718" w:rsidRPr="00412994" w:rsidRDefault="00862718" w:rsidP="00C219AF">
      <w:pPr>
        <w:pStyle w:val="ListParagraph"/>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cs="Arial"/>
          <w:color w:val="202526"/>
          <w:shd w:val="clear" w:color="auto" w:fill="FFFFFF"/>
        </w:rPr>
      </w:pPr>
      <w:r w:rsidRPr="00412994">
        <w:rPr>
          <w:rFonts w:cs="Arial"/>
          <w:color w:val="202526"/>
          <w:shd w:val="clear" w:color="auto" w:fill="FFFFFF"/>
        </w:rPr>
        <w:lastRenderedPageBreak/>
        <w:t>This case highlights the responsibility of employers to protect their employees from harassment by third parties, such as performers or guests.</w:t>
      </w:r>
    </w:p>
    <w:p w14:paraId="7BF59C08" w14:textId="77777777" w:rsidR="00862718" w:rsidRPr="00412994" w:rsidRDefault="00862718" w:rsidP="00C219AF">
      <w:pPr>
        <w:pBdr>
          <w:top w:val="single" w:sz="4" w:space="1" w:color="auto"/>
          <w:left w:val="single" w:sz="4" w:space="4" w:color="auto"/>
          <w:bottom w:val="single" w:sz="4" w:space="1" w:color="auto"/>
          <w:right w:val="single" w:sz="4" w:space="4" w:color="auto"/>
        </w:pBdr>
        <w:spacing w:after="0" w:line="240" w:lineRule="auto"/>
        <w:jc w:val="both"/>
        <w:rPr>
          <w:rFonts w:cs="Arial"/>
          <w:color w:val="202526"/>
          <w:sz w:val="8"/>
          <w:szCs w:val="6"/>
          <w:shd w:val="clear" w:color="auto" w:fill="FFFFFF"/>
        </w:rPr>
      </w:pPr>
    </w:p>
    <w:p w14:paraId="370C88FF" w14:textId="77777777" w:rsidR="00862718" w:rsidRPr="00412994" w:rsidRDefault="00862718" w:rsidP="00C219AF">
      <w:pPr>
        <w:spacing w:after="0" w:line="240" w:lineRule="auto"/>
        <w:jc w:val="both"/>
        <w:rPr>
          <w:rFonts w:cs="Arial"/>
          <w:color w:val="202526"/>
          <w:shd w:val="clear" w:color="auto" w:fill="FFFFFF"/>
        </w:rPr>
      </w:pPr>
    </w:p>
    <w:p w14:paraId="76F0619F" w14:textId="77777777" w:rsidR="00862718" w:rsidRPr="00412994" w:rsidRDefault="00862718" w:rsidP="00C219AF">
      <w:pPr>
        <w:spacing w:after="0" w:line="240" w:lineRule="auto"/>
        <w:jc w:val="both"/>
        <w:rPr>
          <w:rFonts w:cs="Arial"/>
          <w:color w:val="202526"/>
          <w:shd w:val="clear" w:color="auto" w:fill="FFFFFF"/>
        </w:rPr>
      </w:pPr>
    </w:p>
    <w:p w14:paraId="6147F9A5" w14:textId="1C7B3DCF" w:rsidR="007A136B" w:rsidRPr="00173D09" w:rsidRDefault="007A136B" w:rsidP="00173D09">
      <w:pPr>
        <w:pStyle w:val="Heading1"/>
        <w:rPr>
          <w:b/>
          <w:bCs/>
        </w:rPr>
      </w:pPr>
      <w:bookmarkStart w:id="11" w:name="_Toc181889859"/>
      <w:r w:rsidRPr="00173D09">
        <w:rPr>
          <w:b/>
          <w:bCs/>
        </w:rPr>
        <w:t>The cost of harassment</w:t>
      </w:r>
      <w:bookmarkEnd w:id="11"/>
    </w:p>
    <w:p w14:paraId="1886EB9D" w14:textId="77777777" w:rsidR="00862718" w:rsidRPr="00412994"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The cost of harassment can be significant and multifaceted. There is no cap on compensation for loss of earnings, meaning that victims can claim for all financial losses incurred due to harassment. </w:t>
      </w:r>
    </w:p>
    <w:p w14:paraId="0A6A073B" w14:textId="77777777" w:rsidR="00862718" w:rsidRPr="00412994"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Additionally, compensation for injury to feelings is determined using the Vento banding system, which considers the severity of the harassment and the resulting emotional distress. This type of compensation is not tied to any tangible financial loss but reflects the impact on the victim’s well-being. </w:t>
      </w:r>
    </w:p>
    <w:p w14:paraId="401F2924" w14:textId="3E927FBE" w:rsidR="00862718" w:rsidRDefault="00862718" w:rsidP="00C219AF">
      <w:pPr>
        <w:shd w:val="clear" w:color="auto" w:fill="FFFFFF"/>
        <w:spacing w:before="100" w:beforeAutospacing="1" w:after="0" w:line="240" w:lineRule="auto"/>
        <w:jc w:val="both"/>
        <w:rPr>
          <w:rFonts w:cs="Arial"/>
          <w:color w:val="000000" w:themeColor="text1"/>
        </w:rPr>
      </w:pPr>
      <w:r w:rsidRPr="00412994">
        <w:rPr>
          <w:rFonts w:cs="Arial"/>
          <w:color w:val="000000" w:themeColor="text1"/>
        </w:rPr>
        <w:t>Factors, such as the claimant’s vulnerability, the degree and seriousness of the distress caused, are taken into account. The Tribunal does not consider the size or financial health of the employer when determining awards. In some cases, aggravated damages may also be awarded if the employer’s conduct has been particularly egregious.</w:t>
      </w:r>
    </w:p>
    <w:p w14:paraId="6131DD85" w14:textId="77777777" w:rsidR="00412994" w:rsidRDefault="00412994" w:rsidP="00C219AF">
      <w:pPr>
        <w:shd w:val="clear" w:color="auto" w:fill="FFFFFF"/>
        <w:spacing w:before="100" w:beforeAutospacing="1" w:after="0" w:line="240" w:lineRule="auto"/>
        <w:jc w:val="both"/>
        <w:rPr>
          <w:rFonts w:cs="Arial"/>
          <w:color w:val="000000" w:themeColor="text1"/>
        </w:rPr>
      </w:pPr>
    </w:p>
    <w:p w14:paraId="1056CDAC" w14:textId="68EC5702" w:rsidR="007A136B" w:rsidRPr="00C219AF" w:rsidRDefault="00173D09" w:rsidP="00C219AF">
      <w:pPr>
        <w:pStyle w:val="Heading1"/>
        <w:spacing w:line="240" w:lineRule="auto"/>
        <w:jc w:val="both"/>
        <w:rPr>
          <w:b/>
          <w:bCs/>
        </w:rPr>
      </w:pPr>
      <w:bookmarkStart w:id="12" w:name="_Toc181889860"/>
      <w:r>
        <w:rPr>
          <w:b/>
          <w:bCs/>
        </w:rPr>
        <w:t>Preve</w:t>
      </w:r>
      <w:r w:rsidR="007A136B" w:rsidRPr="00C219AF">
        <w:rPr>
          <w:b/>
          <w:bCs/>
        </w:rPr>
        <w:t xml:space="preserve">nting </w:t>
      </w:r>
      <w:r w:rsidR="001B539C" w:rsidRPr="00C219AF">
        <w:rPr>
          <w:b/>
          <w:bCs/>
        </w:rPr>
        <w:t xml:space="preserve">sexual </w:t>
      </w:r>
      <w:r w:rsidR="007A136B" w:rsidRPr="00C219AF">
        <w:rPr>
          <w:b/>
          <w:bCs/>
        </w:rPr>
        <w:t>harassment</w:t>
      </w:r>
      <w:bookmarkEnd w:id="12"/>
    </w:p>
    <w:p w14:paraId="2087DAC2" w14:textId="77777777" w:rsidR="007A136B" w:rsidRPr="00412994" w:rsidRDefault="007A136B" w:rsidP="00C219AF">
      <w:pPr>
        <w:spacing w:after="0" w:line="240" w:lineRule="auto"/>
        <w:jc w:val="both"/>
        <w:rPr>
          <w:rFonts w:cs="Arial"/>
        </w:rPr>
      </w:pPr>
    </w:p>
    <w:p w14:paraId="61646A47" w14:textId="2CF5F9A3" w:rsidR="001B539C" w:rsidRPr="00412994" w:rsidRDefault="001B539C" w:rsidP="00173D09">
      <w:pPr>
        <w:pStyle w:val="Heading2"/>
      </w:pPr>
      <w:bookmarkStart w:id="13" w:name="_Toc181889861"/>
      <w:r w:rsidRPr="00412994">
        <w:t>Anticipatory duty</w:t>
      </w:r>
      <w:bookmarkEnd w:id="13"/>
    </w:p>
    <w:p w14:paraId="0D5C65CD" w14:textId="77777777" w:rsidR="001B539C" w:rsidRDefault="001B539C" w:rsidP="00C219AF">
      <w:pPr>
        <w:spacing w:after="0" w:line="240" w:lineRule="auto"/>
        <w:jc w:val="both"/>
        <w:rPr>
          <w:rFonts w:cs="Arial"/>
          <w:color w:val="000000"/>
          <w:szCs w:val="24"/>
          <w:shd w:val="clear" w:color="auto" w:fill="FFFFFF"/>
        </w:rPr>
      </w:pPr>
      <w:r w:rsidRPr="00412994">
        <w:rPr>
          <w:rFonts w:cs="Arial"/>
          <w:color w:val="000000"/>
          <w:szCs w:val="24"/>
          <w:shd w:val="clear" w:color="auto" w:fill="FFFFFF"/>
        </w:rPr>
        <w:t>The new preventative duty coming into force on 26 October 2024 </w:t>
      </w:r>
      <w:r w:rsidRPr="00412994">
        <w:rPr>
          <w:rStyle w:val="Strong"/>
          <w:rFonts w:cs="Arial"/>
          <w:color w:val="000000"/>
          <w:szCs w:val="24"/>
          <w:shd w:val="clear" w:color="auto" w:fill="FFFFFF"/>
        </w:rPr>
        <w:t>only applies to sexual harassment</w:t>
      </w:r>
      <w:r w:rsidRPr="00412994">
        <w:rPr>
          <w:rFonts w:cs="Arial"/>
          <w:color w:val="000000"/>
          <w:szCs w:val="24"/>
          <w:shd w:val="clear" w:color="auto" w:fill="FFFFFF"/>
        </w:rPr>
        <w:t> (unwanted conduct of a sexual nature which has the purpose or effect of violating a worker’s dignity, or creating an intimidating, hostile, degrading, humiliating or offensive environment for that worker) that takes place in the course of employment.  </w:t>
      </w:r>
    </w:p>
    <w:p w14:paraId="4C05D0D2" w14:textId="77777777" w:rsidR="00C219AF" w:rsidRPr="00412994" w:rsidRDefault="00C219AF" w:rsidP="00C219AF">
      <w:pPr>
        <w:spacing w:after="0" w:line="240" w:lineRule="auto"/>
        <w:jc w:val="both"/>
        <w:rPr>
          <w:rFonts w:cs="Arial"/>
          <w:color w:val="000000"/>
          <w:szCs w:val="24"/>
          <w:shd w:val="clear" w:color="auto" w:fill="FFFFFF"/>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1B539C" w:rsidRPr="00412994" w14:paraId="268686EB" w14:textId="77777777" w:rsidTr="001B539C">
        <w:tc>
          <w:tcPr>
            <w:tcW w:w="8996" w:type="dxa"/>
          </w:tcPr>
          <w:p w14:paraId="7CC43320" w14:textId="77777777" w:rsidR="001B539C" w:rsidRPr="00412994" w:rsidRDefault="001B539C" w:rsidP="00C219AF">
            <w:pPr>
              <w:jc w:val="both"/>
              <w:rPr>
                <w:rFonts w:cs="Arial"/>
                <w:b/>
                <w:bCs/>
                <w:sz w:val="8"/>
                <w:szCs w:val="6"/>
              </w:rPr>
            </w:pPr>
          </w:p>
          <w:p w14:paraId="0DEA4711" w14:textId="77777777" w:rsidR="001B539C" w:rsidRPr="00412994" w:rsidRDefault="001B539C" w:rsidP="00C219AF">
            <w:pPr>
              <w:jc w:val="both"/>
              <w:rPr>
                <w:rFonts w:cs="Arial"/>
                <w:b/>
                <w:bCs/>
              </w:rPr>
            </w:pPr>
            <w:r w:rsidRPr="00412994">
              <w:rPr>
                <w:rFonts w:cs="Arial"/>
                <w:b/>
                <w:bCs/>
              </w:rPr>
              <w:t>The Worker Protection (Amendment of Equality Act 2010) Act 2023</w:t>
            </w:r>
          </w:p>
          <w:p w14:paraId="6FB51524" w14:textId="77777777" w:rsidR="001B539C" w:rsidRPr="00412994" w:rsidRDefault="001B539C" w:rsidP="00C219AF">
            <w:pPr>
              <w:jc w:val="both"/>
              <w:rPr>
                <w:rFonts w:cs="Arial"/>
                <w:b/>
                <w:bCs/>
              </w:rPr>
            </w:pPr>
            <w:r w:rsidRPr="00412994">
              <w:rPr>
                <w:rFonts w:cs="Arial"/>
                <w:b/>
                <w:bCs/>
              </w:rPr>
              <w:t>Section 40A</w:t>
            </w:r>
          </w:p>
          <w:p w14:paraId="10F8E83D" w14:textId="77777777" w:rsidR="001B539C" w:rsidRPr="00412994" w:rsidRDefault="001B539C" w:rsidP="00C219AF">
            <w:pPr>
              <w:pStyle w:val="ListParagraph"/>
              <w:numPr>
                <w:ilvl w:val="0"/>
                <w:numId w:val="20"/>
              </w:numPr>
              <w:jc w:val="both"/>
              <w:rPr>
                <w:rFonts w:cs="Arial"/>
              </w:rPr>
            </w:pPr>
            <w:r w:rsidRPr="00412994">
              <w:rPr>
                <w:rFonts w:cs="Arial"/>
              </w:rPr>
              <w:t>An employer (A) must take reasonable steps to prevent harassment of employees of (A) in the course of their employment.</w:t>
            </w:r>
          </w:p>
          <w:p w14:paraId="37F21DD7" w14:textId="77777777" w:rsidR="001B539C" w:rsidRPr="00412994" w:rsidRDefault="001B539C" w:rsidP="00C219AF">
            <w:pPr>
              <w:pStyle w:val="ListParagraph"/>
              <w:numPr>
                <w:ilvl w:val="0"/>
                <w:numId w:val="20"/>
              </w:numPr>
              <w:jc w:val="both"/>
              <w:rPr>
                <w:rFonts w:cs="Arial"/>
              </w:rPr>
            </w:pPr>
            <w:r w:rsidRPr="00412994">
              <w:rPr>
                <w:rFonts w:cs="Arial"/>
              </w:rPr>
              <w:t xml:space="preserve">“Sexual harassment” in subjection (1) means harassment </w:t>
            </w:r>
            <w:proofErr w:type="spellStart"/>
            <w:r w:rsidRPr="00412994">
              <w:rPr>
                <w:rFonts w:cs="Arial"/>
              </w:rPr>
              <w:t>o</w:t>
            </w:r>
            <w:proofErr w:type="spellEnd"/>
            <w:r w:rsidRPr="00412994">
              <w:rPr>
                <w:rFonts w:cs="Arial"/>
              </w:rPr>
              <w:t xml:space="preserve"> the kind described in section 26(2) (unwanted conduct of a sexual nature). </w:t>
            </w:r>
          </w:p>
          <w:p w14:paraId="5E6F84FD" w14:textId="77777777" w:rsidR="001B539C" w:rsidRPr="00412994" w:rsidRDefault="001B539C" w:rsidP="00C219AF">
            <w:pPr>
              <w:jc w:val="both"/>
              <w:rPr>
                <w:rFonts w:cs="Arial"/>
              </w:rPr>
            </w:pPr>
            <w:r w:rsidRPr="00412994">
              <w:rPr>
                <w:rFonts w:cs="Arial"/>
              </w:rPr>
              <w:t xml:space="preserve">This does not say that it needs to be by other employees. </w:t>
            </w:r>
          </w:p>
          <w:p w14:paraId="774DCD7A" w14:textId="77777777" w:rsidR="001B539C" w:rsidRPr="00412994" w:rsidRDefault="001B539C" w:rsidP="00C219AF">
            <w:pPr>
              <w:jc w:val="both"/>
              <w:rPr>
                <w:rFonts w:cs="Arial"/>
              </w:rPr>
            </w:pPr>
            <w:r w:rsidRPr="00412994">
              <w:rPr>
                <w:rFonts w:cs="Arial"/>
              </w:rPr>
              <w:t>This includes a duty to take reasonable steps by third parties, clients, suppliers, etc.</w:t>
            </w:r>
          </w:p>
          <w:p w14:paraId="311AD1BD" w14:textId="77777777" w:rsidR="001B539C" w:rsidRPr="00412994" w:rsidRDefault="001B539C" w:rsidP="00C219AF">
            <w:pPr>
              <w:jc w:val="both"/>
              <w:rPr>
                <w:rFonts w:cs="Arial"/>
                <w:sz w:val="8"/>
                <w:szCs w:val="6"/>
              </w:rPr>
            </w:pPr>
          </w:p>
          <w:p w14:paraId="7ED0ACEA" w14:textId="77777777" w:rsidR="001B539C" w:rsidRPr="00412994" w:rsidRDefault="001B539C" w:rsidP="00C219AF">
            <w:pPr>
              <w:jc w:val="both"/>
              <w:rPr>
                <w:rFonts w:cs="Arial"/>
                <w:sz w:val="8"/>
                <w:szCs w:val="6"/>
              </w:rPr>
            </w:pPr>
          </w:p>
        </w:tc>
      </w:tr>
    </w:tbl>
    <w:p w14:paraId="66DACBAB" w14:textId="6CED1CDE" w:rsidR="001B539C" w:rsidRPr="00412994" w:rsidRDefault="001B539C" w:rsidP="00C219AF">
      <w:pPr>
        <w:spacing w:after="0" w:line="240" w:lineRule="auto"/>
        <w:jc w:val="both"/>
        <w:rPr>
          <w:rFonts w:cs="Arial"/>
          <w:b/>
          <w:bCs/>
          <w:szCs w:val="24"/>
        </w:rPr>
      </w:pPr>
      <w:r w:rsidRPr="00412994">
        <w:rPr>
          <w:rFonts w:cs="Arial"/>
          <w:color w:val="000000"/>
          <w:szCs w:val="24"/>
        </w:rPr>
        <w:br/>
      </w:r>
      <w:r w:rsidRPr="00412994">
        <w:rPr>
          <w:rFonts w:cs="Arial"/>
          <w:color w:val="000000"/>
          <w:szCs w:val="24"/>
          <w:shd w:val="clear" w:color="auto" w:fill="FFFFFF"/>
        </w:rPr>
        <w:t xml:space="preserve">It does not cover other types of harassment relating to a protected characteristic, nor does it apply to less favourable treatment for rejecting or submitting to unwanted conduct (although it notes that these types of harassment are </w:t>
      </w:r>
      <w:proofErr w:type="gramStart"/>
      <w:r w:rsidRPr="00412994">
        <w:rPr>
          <w:rFonts w:cs="Arial"/>
          <w:color w:val="000000"/>
          <w:szCs w:val="24"/>
          <w:shd w:val="clear" w:color="auto" w:fill="FFFFFF"/>
        </w:rPr>
        <w:t>unlawful</w:t>
      </w:r>
      <w:proofErr w:type="gramEnd"/>
      <w:r w:rsidRPr="00412994">
        <w:rPr>
          <w:rFonts w:cs="Arial"/>
          <w:color w:val="000000"/>
          <w:szCs w:val="24"/>
          <w:shd w:val="clear" w:color="auto" w:fill="FFFFFF"/>
        </w:rPr>
        <w:t xml:space="preserve"> and employers should take steps to prevent all types of harassment at work).</w:t>
      </w:r>
    </w:p>
    <w:p w14:paraId="1EE9E623" w14:textId="77777777" w:rsidR="00C219AF" w:rsidRDefault="00C219AF" w:rsidP="00C219AF">
      <w:pPr>
        <w:spacing w:after="0" w:line="240" w:lineRule="auto"/>
        <w:jc w:val="both"/>
        <w:rPr>
          <w:rFonts w:cs="Arial"/>
          <w:szCs w:val="24"/>
        </w:rPr>
      </w:pPr>
    </w:p>
    <w:p w14:paraId="72C44E16" w14:textId="0B7EEA29" w:rsidR="001B539C" w:rsidRPr="00412994" w:rsidRDefault="001B539C" w:rsidP="00C219AF">
      <w:pPr>
        <w:spacing w:after="0" w:line="240" w:lineRule="auto"/>
        <w:jc w:val="both"/>
        <w:rPr>
          <w:rFonts w:cs="Arial"/>
          <w:szCs w:val="24"/>
        </w:rPr>
      </w:pPr>
      <w:r w:rsidRPr="00412994">
        <w:rPr>
          <w:rFonts w:cs="Arial"/>
          <w:szCs w:val="24"/>
        </w:rPr>
        <w:lastRenderedPageBreak/>
        <w:t xml:space="preserve">The new preventative duty is "designed to transform workplace cultures by requiring employers to take positive and proactive reasonable steps to prevent sexual harassment of their workers".  </w:t>
      </w:r>
    </w:p>
    <w:p w14:paraId="2AB9154D" w14:textId="77777777" w:rsidR="00C219AF" w:rsidRDefault="00C219AF" w:rsidP="00C219AF">
      <w:pPr>
        <w:spacing w:after="0" w:line="240" w:lineRule="auto"/>
        <w:jc w:val="both"/>
        <w:rPr>
          <w:rFonts w:cs="Arial"/>
          <w:szCs w:val="24"/>
        </w:rPr>
      </w:pPr>
    </w:p>
    <w:p w14:paraId="523F70E4" w14:textId="0E2E8BE2" w:rsidR="001B539C" w:rsidRPr="00412994" w:rsidRDefault="001B539C" w:rsidP="00C219AF">
      <w:pPr>
        <w:spacing w:after="0" w:line="240" w:lineRule="auto"/>
        <w:jc w:val="both"/>
        <w:rPr>
          <w:rFonts w:cs="Arial"/>
          <w:szCs w:val="24"/>
        </w:rPr>
      </w:pPr>
      <w:r w:rsidRPr="00412994">
        <w:rPr>
          <w:rFonts w:cs="Arial"/>
          <w:szCs w:val="24"/>
        </w:rPr>
        <w:t>Employers must anticipate scenarios where sexual harassment may arise and take proactive action to prevent it taking place, rather than waiting until an incident of sexual harassment occurs before taking action. If sexual harassment has taken place, the preventative duty means an employer should take action to stop sexual harassment from happening again.</w:t>
      </w:r>
    </w:p>
    <w:p w14:paraId="681FE430" w14:textId="77777777" w:rsidR="00C219AF" w:rsidRDefault="00C219AF" w:rsidP="00C219AF">
      <w:pPr>
        <w:spacing w:after="0" w:line="240" w:lineRule="auto"/>
        <w:jc w:val="both"/>
        <w:rPr>
          <w:rFonts w:cs="Arial"/>
          <w:b/>
          <w:bCs/>
          <w:u w:val="single"/>
        </w:rPr>
      </w:pPr>
    </w:p>
    <w:p w14:paraId="688A91FA" w14:textId="1972E74B" w:rsidR="001B539C" w:rsidRPr="00412994" w:rsidRDefault="001B539C" w:rsidP="00C219AF">
      <w:pPr>
        <w:spacing w:after="0" w:line="240" w:lineRule="auto"/>
        <w:jc w:val="both"/>
        <w:rPr>
          <w:rFonts w:cs="Arial"/>
          <w:b/>
          <w:bCs/>
          <w:u w:val="single"/>
        </w:rPr>
      </w:pPr>
      <w:r w:rsidRPr="00412994">
        <w:rPr>
          <w:rFonts w:cs="Arial"/>
          <w:b/>
          <w:bCs/>
          <w:u w:val="single"/>
        </w:rPr>
        <w:t>Risk assessments</w:t>
      </w:r>
    </w:p>
    <w:p w14:paraId="552B63C6" w14:textId="77777777" w:rsidR="00C219AF" w:rsidRDefault="00C219AF" w:rsidP="00C219AF">
      <w:pPr>
        <w:spacing w:after="0" w:line="240" w:lineRule="auto"/>
        <w:jc w:val="both"/>
        <w:rPr>
          <w:rFonts w:cs="Arial"/>
          <w:szCs w:val="24"/>
        </w:rPr>
      </w:pPr>
    </w:p>
    <w:p w14:paraId="270F0D2C" w14:textId="2A81EB44" w:rsidR="001B539C" w:rsidRPr="00412994" w:rsidRDefault="001B539C" w:rsidP="00C219AF">
      <w:pPr>
        <w:spacing w:after="0" w:line="240" w:lineRule="auto"/>
        <w:jc w:val="both"/>
        <w:rPr>
          <w:rFonts w:cs="Arial"/>
          <w:szCs w:val="24"/>
        </w:rPr>
      </w:pPr>
      <w:r w:rsidRPr="00412994">
        <w:rPr>
          <w:rFonts w:cs="Arial"/>
          <w:szCs w:val="24"/>
        </w:rPr>
        <w:t xml:space="preserve">Employers should anticipate the types of harassment that could take place within the workplace and carry out risk assessments. </w:t>
      </w:r>
    </w:p>
    <w:p w14:paraId="0C5D306F" w14:textId="77777777" w:rsidR="00C219AF" w:rsidRDefault="00C219AF" w:rsidP="00C219AF">
      <w:pPr>
        <w:spacing w:after="0" w:line="240" w:lineRule="auto"/>
        <w:jc w:val="both"/>
        <w:rPr>
          <w:rFonts w:cs="Arial"/>
          <w:szCs w:val="24"/>
        </w:rPr>
      </w:pPr>
    </w:p>
    <w:p w14:paraId="03D8BE14" w14:textId="7C9F751F" w:rsidR="001B539C" w:rsidRPr="00412994" w:rsidRDefault="001B539C" w:rsidP="00C219AF">
      <w:pPr>
        <w:spacing w:after="0" w:line="240" w:lineRule="auto"/>
        <w:jc w:val="both"/>
        <w:rPr>
          <w:rFonts w:cs="Arial"/>
          <w:szCs w:val="24"/>
        </w:rPr>
      </w:pPr>
      <w:r w:rsidRPr="00412994">
        <w:rPr>
          <w:rFonts w:cs="Arial"/>
          <w:szCs w:val="24"/>
        </w:rPr>
        <w:t>As part of their risk assessment, an employer should:</w:t>
      </w:r>
    </w:p>
    <w:p w14:paraId="0779134D" w14:textId="77777777" w:rsidR="001B539C" w:rsidRPr="00412994" w:rsidRDefault="001B539C" w:rsidP="00C219AF">
      <w:pPr>
        <w:pStyle w:val="ListParagraph"/>
        <w:numPr>
          <w:ilvl w:val="0"/>
          <w:numId w:val="23"/>
        </w:numPr>
        <w:spacing w:after="0" w:line="240" w:lineRule="auto"/>
        <w:jc w:val="both"/>
        <w:rPr>
          <w:rFonts w:cs="Arial"/>
          <w:szCs w:val="24"/>
        </w:rPr>
      </w:pPr>
      <w:r w:rsidRPr="00412994">
        <w:rPr>
          <w:rFonts w:cs="Arial"/>
          <w:szCs w:val="24"/>
        </w:rPr>
        <w:t>Consider the risks of sexual harassment in the workplace.</w:t>
      </w:r>
    </w:p>
    <w:p w14:paraId="4AE61AEF" w14:textId="77777777" w:rsidR="001B539C" w:rsidRPr="00412994" w:rsidRDefault="001B539C" w:rsidP="00C219AF">
      <w:pPr>
        <w:pStyle w:val="ListParagraph"/>
        <w:numPr>
          <w:ilvl w:val="0"/>
          <w:numId w:val="23"/>
        </w:numPr>
        <w:spacing w:after="0" w:line="240" w:lineRule="auto"/>
        <w:jc w:val="both"/>
        <w:rPr>
          <w:rFonts w:cs="Arial"/>
          <w:szCs w:val="24"/>
        </w:rPr>
      </w:pPr>
      <w:r w:rsidRPr="00412994">
        <w:rPr>
          <w:rFonts w:cs="Arial"/>
          <w:szCs w:val="24"/>
        </w:rPr>
        <w:t>Consider what steps it could take to reduce or remove that risk.</w:t>
      </w:r>
    </w:p>
    <w:p w14:paraId="78A411DF" w14:textId="77777777" w:rsidR="001B539C" w:rsidRPr="00412994" w:rsidRDefault="001B539C" w:rsidP="00C219AF">
      <w:pPr>
        <w:pStyle w:val="ListParagraph"/>
        <w:numPr>
          <w:ilvl w:val="0"/>
          <w:numId w:val="23"/>
        </w:numPr>
        <w:spacing w:after="0" w:line="240" w:lineRule="auto"/>
        <w:jc w:val="both"/>
        <w:rPr>
          <w:rFonts w:cs="Arial"/>
          <w:szCs w:val="24"/>
        </w:rPr>
      </w:pPr>
      <w:r w:rsidRPr="00412994">
        <w:rPr>
          <w:rFonts w:cs="Arial"/>
          <w:szCs w:val="24"/>
        </w:rPr>
        <w:t xml:space="preserve">Consider which of those steps it would be reasonable for it to take bearing in mind the time, cost and potential disruption caused by taking the step. </w:t>
      </w:r>
    </w:p>
    <w:p w14:paraId="50B1AF87" w14:textId="77777777" w:rsidR="001B539C" w:rsidRPr="00412994" w:rsidRDefault="001B539C" w:rsidP="00C219AF">
      <w:pPr>
        <w:pStyle w:val="ListParagraph"/>
        <w:numPr>
          <w:ilvl w:val="0"/>
          <w:numId w:val="23"/>
        </w:numPr>
        <w:spacing w:after="0" w:line="240" w:lineRule="auto"/>
        <w:jc w:val="both"/>
        <w:rPr>
          <w:rFonts w:cs="Arial"/>
          <w:szCs w:val="24"/>
        </w:rPr>
      </w:pPr>
      <w:r w:rsidRPr="00412994">
        <w:rPr>
          <w:rFonts w:cs="Arial"/>
          <w:szCs w:val="24"/>
        </w:rPr>
        <w:t xml:space="preserve">Any reasonable steps identified should be implemented.      </w:t>
      </w:r>
    </w:p>
    <w:p w14:paraId="0CDA2575" w14:textId="77777777" w:rsidR="00C219AF" w:rsidRDefault="001B539C" w:rsidP="00C219AF">
      <w:pPr>
        <w:pStyle w:val="ListParagraph"/>
        <w:spacing w:after="0" w:line="240" w:lineRule="auto"/>
        <w:jc w:val="both"/>
        <w:rPr>
          <w:rFonts w:cs="Arial"/>
          <w:szCs w:val="24"/>
        </w:rPr>
      </w:pPr>
      <w:r w:rsidRPr="00412994">
        <w:rPr>
          <w:rFonts w:cs="Arial"/>
          <w:szCs w:val="24"/>
        </w:rPr>
        <w:t xml:space="preserve">         </w:t>
      </w:r>
    </w:p>
    <w:p w14:paraId="14DA89E6" w14:textId="139BF721" w:rsidR="007A136B" w:rsidRPr="00412994" w:rsidRDefault="007A136B" w:rsidP="00173D09">
      <w:pPr>
        <w:pStyle w:val="Heading2"/>
      </w:pPr>
      <w:bookmarkStart w:id="14" w:name="_Toc181889862"/>
      <w:r w:rsidRPr="00412994">
        <w:t>Reasonable Steps</w:t>
      </w:r>
      <w:bookmarkEnd w:id="14"/>
      <w:r w:rsidRPr="00412994">
        <w:t xml:space="preserve"> </w:t>
      </w:r>
    </w:p>
    <w:p w14:paraId="20BB9EC5" w14:textId="77777777" w:rsidR="00C219AF" w:rsidRDefault="00C219AF" w:rsidP="00C219AF">
      <w:pPr>
        <w:spacing w:after="0" w:line="240" w:lineRule="auto"/>
        <w:jc w:val="both"/>
        <w:rPr>
          <w:rStyle w:val="hgkelc"/>
          <w:rFonts w:cs="Arial"/>
          <w:color w:val="1F1F1F"/>
          <w:szCs w:val="24"/>
          <w:shd w:val="clear" w:color="auto" w:fill="FFFFFF"/>
        </w:rPr>
      </w:pPr>
    </w:p>
    <w:p w14:paraId="04D7501D" w14:textId="6E17C3B3" w:rsidR="00C2382E" w:rsidRDefault="001B539C" w:rsidP="00C219AF">
      <w:pPr>
        <w:spacing w:after="0" w:line="240" w:lineRule="auto"/>
        <w:jc w:val="both"/>
        <w:rPr>
          <w:rStyle w:val="hgkelc"/>
          <w:rFonts w:cs="Arial"/>
          <w:color w:val="1F1F1F"/>
          <w:szCs w:val="24"/>
          <w:shd w:val="clear" w:color="auto" w:fill="FFFFFF"/>
        </w:rPr>
      </w:pPr>
      <w:r w:rsidRPr="00412994">
        <w:rPr>
          <w:rStyle w:val="hgkelc"/>
          <w:rFonts w:cs="Arial"/>
          <w:color w:val="1F1F1F"/>
          <w:szCs w:val="24"/>
          <w:shd w:val="clear" w:color="auto" w:fill="FFFFFF"/>
        </w:rPr>
        <w:t xml:space="preserve">Employers have a new duty to take </w:t>
      </w:r>
      <w:r w:rsidR="00C2382E" w:rsidRPr="00412994">
        <w:rPr>
          <w:rStyle w:val="hgkelc"/>
          <w:rFonts w:cs="Arial"/>
          <w:color w:val="1F1F1F"/>
          <w:szCs w:val="24"/>
          <w:shd w:val="clear" w:color="auto" w:fill="FFFFFF"/>
        </w:rPr>
        <w:t>“</w:t>
      </w:r>
      <w:r w:rsidRPr="00412994">
        <w:rPr>
          <w:rStyle w:val="hgkelc"/>
          <w:rFonts w:cs="Arial"/>
          <w:b/>
          <w:bCs/>
          <w:color w:val="1F1F1F"/>
          <w:szCs w:val="24"/>
          <w:shd w:val="clear" w:color="auto" w:fill="FFFFFF"/>
        </w:rPr>
        <w:t>reasonable steps</w:t>
      </w:r>
      <w:r w:rsidR="00C2382E" w:rsidRPr="00412994">
        <w:rPr>
          <w:rStyle w:val="hgkelc"/>
          <w:rFonts w:cs="Arial"/>
          <w:color w:val="1F1F1F"/>
          <w:szCs w:val="24"/>
          <w:shd w:val="clear" w:color="auto" w:fill="FFFFFF"/>
        </w:rPr>
        <w:t>”</w:t>
      </w:r>
      <w:r w:rsidRPr="00412994">
        <w:rPr>
          <w:rStyle w:val="hgkelc"/>
          <w:rFonts w:cs="Arial"/>
          <w:color w:val="1F1F1F"/>
          <w:szCs w:val="24"/>
          <w:shd w:val="clear" w:color="auto" w:fill="FFFFFF"/>
        </w:rPr>
        <w:t xml:space="preserve"> to prevent sexual harassment in the workplace. This duty is crucial in ensuring a safe and respectful work environment. </w:t>
      </w:r>
    </w:p>
    <w:p w14:paraId="56D03AAB" w14:textId="77777777" w:rsidR="00C219AF" w:rsidRPr="00412994" w:rsidRDefault="00C219AF" w:rsidP="00C219AF">
      <w:pPr>
        <w:spacing w:after="0" w:line="240" w:lineRule="auto"/>
        <w:jc w:val="both"/>
        <w:rPr>
          <w:rStyle w:val="hgkelc"/>
          <w:rFonts w:cs="Arial"/>
          <w:color w:val="1F1F1F"/>
          <w:szCs w:val="24"/>
          <w:shd w:val="clear" w:color="auto" w:fill="FFFFFF"/>
        </w:rPr>
      </w:pPr>
    </w:p>
    <w:p w14:paraId="4336EC5B" w14:textId="6B91ABD8" w:rsidR="001B539C" w:rsidRPr="00412994" w:rsidRDefault="00C2382E" w:rsidP="00C219AF">
      <w:pPr>
        <w:spacing w:after="0" w:line="240" w:lineRule="auto"/>
        <w:jc w:val="both"/>
        <w:rPr>
          <w:rStyle w:val="hgkelc"/>
          <w:rFonts w:cs="Arial"/>
          <w:b/>
          <w:bCs/>
          <w:i/>
          <w:iCs/>
          <w:color w:val="1F1F1F"/>
          <w:szCs w:val="24"/>
          <w:shd w:val="clear" w:color="auto" w:fill="FFFFFF"/>
        </w:rPr>
      </w:pPr>
      <w:r w:rsidRPr="00412994">
        <w:rPr>
          <w:rStyle w:val="hgkelc"/>
          <w:rFonts w:cs="Arial"/>
          <w:b/>
          <w:bCs/>
          <w:i/>
          <w:iCs/>
          <w:color w:val="1F1F1F"/>
          <w:szCs w:val="24"/>
          <w:shd w:val="clear" w:color="auto" w:fill="FFFFFF"/>
        </w:rPr>
        <w:t>This is different to the duty for harassment, which requires “</w:t>
      </w:r>
      <w:r w:rsidRPr="00412994">
        <w:rPr>
          <w:rStyle w:val="hgkelc"/>
          <w:rFonts w:cs="Arial"/>
          <w:b/>
          <w:bCs/>
          <w:i/>
          <w:iCs/>
          <w:color w:val="1F1F1F"/>
          <w:szCs w:val="24"/>
          <w:u w:val="single"/>
          <w:shd w:val="clear" w:color="auto" w:fill="FFFFFF"/>
        </w:rPr>
        <w:t>all</w:t>
      </w:r>
      <w:r w:rsidRPr="00412994">
        <w:rPr>
          <w:rStyle w:val="hgkelc"/>
          <w:rFonts w:cs="Arial"/>
          <w:b/>
          <w:bCs/>
          <w:i/>
          <w:iCs/>
          <w:color w:val="1F1F1F"/>
          <w:szCs w:val="24"/>
          <w:shd w:val="clear" w:color="auto" w:fill="FFFFFF"/>
        </w:rPr>
        <w:t xml:space="preserve"> reasonable steps” to be taken to prevent harassment in the workplace.</w:t>
      </w:r>
    </w:p>
    <w:p w14:paraId="585FEED0" w14:textId="77777777" w:rsidR="00C219AF" w:rsidRDefault="00C219AF" w:rsidP="00C219AF">
      <w:pPr>
        <w:spacing w:after="0" w:line="240" w:lineRule="auto"/>
        <w:jc w:val="both"/>
        <w:rPr>
          <w:rFonts w:cs="Arial"/>
          <w:szCs w:val="24"/>
        </w:rPr>
      </w:pPr>
    </w:p>
    <w:p w14:paraId="72F2FD59" w14:textId="0D678B84" w:rsidR="001B539C" w:rsidRPr="00412994" w:rsidRDefault="001B539C" w:rsidP="00C219AF">
      <w:pPr>
        <w:spacing w:after="0" w:line="240" w:lineRule="auto"/>
        <w:jc w:val="both"/>
        <w:rPr>
          <w:rFonts w:cs="Arial"/>
          <w:szCs w:val="24"/>
        </w:rPr>
      </w:pPr>
      <w:r w:rsidRPr="00412994">
        <w:rPr>
          <w:rFonts w:cs="Arial"/>
          <w:szCs w:val="24"/>
        </w:rPr>
        <w:t>Employers must take reasonable steps to prevent sexual harassment of their workers in the course of employment. This is an objective test and will vary between different employers, as well as depending on the facts and circumstances of each situation.</w:t>
      </w:r>
    </w:p>
    <w:p w14:paraId="4E834630" w14:textId="77777777" w:rsidR="00C219AF" w:rsidRDefault="00C219AF" w:rsidP="00C219AF">
      <w:pPr>
        <w:spacing w:after="0" w:line="240" w:lineRule="auto"/>
        <w:jc w:val="both"/>
        <w:rPr>
          <w:rFonts w:cs="Arial"/>
          <w:szCs w:val="24"/>
        </w:rPr>
      </w:pPr>
    </w:p>
    <w:p w14:paraId="637CB0B6" w14:textId="735993AD" w:rsidR="001B539C" w:rsidRPr="00412994" w:rsidRDefault="001B539C" w:rsidP="00C219AF">
      <w:pPr>
        <w:spacing w:after="0" w:line="240" w:lineRule="auto"/>
        <w:jc w:val="both"/>
        <w:rPr>
          <w:rFonts w:cs="Arial"/>
          <w:szCs w:val="24"/>
        </w:rPr>
      </w:pPr>
      <w:r w:rsidRPr="00412994">
        <w:rPr>
          <w:rFonts w:cs="Arial"/>
          <w:szCs w:val="24"/>
        </w:rPr>
        <w:t>This takes into account the:</w:t>
      </w:r>
    </w:p>
    <w:p w14:paraId="4CB9EBE8" w14:textId="77777777" w:rsidR="001B539C" w:rsidRPr="00412994" w:rsidRDefault="001B539C" w:rsidP="00C219AF">
      <w:pPr>
        <w:pStyle w:val="ListParagraph"/>
        <w:numPr>
          <w:ilvl w:val="0"/>
          <w:numId w:val="39"/>
        </w:numPr>
        <w:spacing w:after="0" w:line="240" w:lineRule="auto"/>
        <w:jc w:val="both"/>
        <w:rPr>
          <w:rFonts w:cs="Arial"/>
          <w:szCs w:val="24"/>
        </w:rPr>
      </w:pPr>
      <w:r w:rsidRPr="00412994">
        <w:rPr>
          <w:rFonts w:cs="Arial"/>
          <w:szCs w:val="24"/>
        </w:rPr>
        <w:t>Nature of the working environment.</w:t>
      </w:r>
    </w:p>
    <w:p w14:paraId="5E1098C4" w14:textId="6411BB64" w:rsidR="001B539C" w:rsidRPr="00412994" w:rsidRDefault="001B539C" w:rsidP="00C219AF">
      <w:pPr>
        <w:pStyle w:val="ListParagraph"/>
        <w:numPr>
          <w:ilvl w:val="0"/>
          <w:numId w:val="39"/>
        </w:numPr>
        <w:spacing w:after="0" w:line="240" w:lineRule="auto"/>
        <w:jc w:val="both"/>
        <w:rPr>
          <w:rFonts w:cs="Arial"/>
          <w:szCs w:val="24"/>
        </w:rPr>
      </w:pPr>
      <w:r w:rsidRPr="00412994">
        <w:rPr>
          <w:rFonts w:cs="Arial"/>
          <w:szCs w:val="24"/>
        </w:rPr>
        <w:t xml:space="preserve">Time, cost and potential disruption of taking a particular step, weighted against the benefit it could achieve. </w:t>
      </w:r>
    </w:p>
    <w:p w14:paraId="60EBC43B" w14:textId="77777777" w:rsidR="00C2382E" w:rsidRPr="00412994" w:rsidRDefault="00C2382E" w:rsidP="00C219AF">
      <w:pPr>
        <w:spacing w:after="0" w:line="240" w:lineRule="auto"/>
        <w:jc w:val="both"/>
        <w:rPr>
          <w:rStyle w:val="hgkelc"/>
          <w:rFonts w:cs="Arial"/>
          <w:szCs w:val="24"/>
        </w:rPr>
      </w:pPr>
    </w:p>
    <w:p w14:paraId="17889429" w14:textId="77777777" w:rsidR="007A136B" w:rsidRPr="00173D09" w:rsidRDefault="007A136B" w:rsidP="00173D09">
      <w:pPr>
        <w:pStyle w:val="Heading2"/>
        <w:rPr>
          <w:shd w:val="clear" w:color="auto" w:fill="FFFFFF"/>
        </w:rPr>
      </w:pPr>
      <w:bookmarkStart w:id="15" w:name="_Toc181889863"/>
      <w:r w:rsidRPr="00173D09">
        <w:rPr>
          <w:shd w:val="clear" w:color="auto" w:fill="FFFFFF"/>
        </w:rPr>
        <w:t>The steps to prevent harassment must have taken place before the harassment occurred.</w:t>
      </w:r>
      <w:bookmarkEnd w:id="15"/>
      <w:r w:rsidRPr="00173D09">
        <w:rPr>
          <w:shd w:val="clear" w:color="auto" w:fill="FFFFFF"/>
        </w:rPr>
        <w:t xml:space="preserve"> </w:t>
      </w:r>
    </w:p>
    <w:p w14:paraId="35D55E0D" w14:textId="77777777" w:rsidR="00C219AF" w:rsidRPr="00C219AF" w:rsidRDefault="00C219AF" w:rsidP="00C219AF"/>
    <w:p w14:paraId="14EFC78F" w14:textId="77777777" w:rsidR="00C2382E" w:rsidRPr="00412994" w:rsidRDefault="00C2382E" w:rsidP="00C219AF">
      <w:pPr>
        <w:pStyle w:val="case-titl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color w:val="202526"/>
          <w:sz w:val="8"/>
          <w:szCs w:val="8"/>
          <w:u w:val="single"/>
        </w:rPr>
      </w:pPr>
    </w:p>
    <w:p w14:paraId="79FE057D" w14:textId="0C578757" w:rsidR="000523C6" w:rsidRPr="00412994" w:rsidRDefault="000523C6" w:rsidP="00C219AF">
      <w:pPr>
        <w:pStyle w:val="case-title"/>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Arial" w:hAnsi="Arial" w:cs="Arial"/>
          <w:b/>
          <w:bCs/>
          <w:color w:val="202526"/>
          <w:u w:val="single"/>
        </w:rPr>
      </w:pPr>
      <w:r w:rsidRPr="00412994">
        <w:rPr>
          <w:rFonts w:ascii="Arial" w:hAnsi="Arial" w:cs="Arial"/>
          <w:b/>
          <w:bCs/>
          <w:color w:val="202526"/>
          <w:u w:val="single"/>
        </w:rPr>
        <w:t xml:space="preserve">CASE REVIEW: </w:t>
      </w:r>
      <w:proofErr w:type="spellStart"/>
      <w:r w:rsidRPr="00412994">
        <w:rPr>
          <w:rFonts w:ascii="Arial" w:hAnsi="Arial" w:cs="Arial"/>
          <w:b/>
          <w:bCs/>
          <w:color w:val="202526"/>
          <w:u w:val="single"/>
        </w:rPr>
        <w:t>Canniffe</w:t>
      </w:r>
      <w:proofErr w:type="spellEnd"/>
      <w:r w:rsidRPr="00412994">
        <w:rPr>
          <w:rFonts w:ascii="Arial" w:hAnsi="Arial" w:cs="Arial"/>
          <w:b/>
          <w:bCs/>
          <w:color w:val="202526"/>
          <w:u w:val="single"/>
        </w:rPr>
        <w:t xml:space="preserve"> v East Riding of Yorkshire Council [2000] IRLR 555 EAT </w:t>
      </w:r>
    </w:p>
    <w:p w14:paraId="68CBC4A2" w14:textId="77777777" w:rsidR="00C2382E" w:rsidRPr="00412994" w:rsidRDefault="00C2382E" w:rsidP="00C219AF">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color w:val="202526"/>
          <w:szCs w:val="24"/>
          <w:lang w:eastAsia="en-GB"/>
        </w:rPr>
      </w:pPr>
      <w:r w:rsidRPr="00412994">
        <w:rPr>
          <w:rFonts w:eastAsia="Times New Roman" w:cs="Arial"/>
          <w:color w:val="202526"/>
          <w:szCs w:val="24"/>
          <w:lang w:eastAsia="en-GB"/>
        </w:rPr>
        <w:t xml:space="preserve">Ms. </w:t>
      </w:r>
      <w:proofErr w:type="spellStart"/>
      <w:r w:rsidRPr="00412994">
        <w:rPr>
          <w:rFonts w:eastAsia="Times New Roman" w:cs="Arial"/>
          <w:color w:val="202526"/>
          <w:szCs w:val="24"/>
          <w:lang w:eastAsia="en-GB"/>
        </w:rPr>
        <w:t>Canniffe</w:t>
      </w:r>
      <w:proofErr w:type="spellEnd"/>
      <w:r w:rsidRPr="00412994">
        <w:rPr>
          <w:rFonts w:eastAsia="Times New Roman" w:cs="Arial"/>
          <w:color w:val="202526"/>
          <w:szCs w:val="24"/>
          <w:lang w:eastAsia="en-GB"/>
        </w:rPr>
        <w:t xml:space="preserve"> was sexually assaulted by a fellow employee, and the council was found vicariously liable under the Sex Discrimination Act 1975. The key issue was whether the council could use the statutory </w:t>
      </w:r>
      <w:proofErr w:type="spellStart"/>
      <w:r w:rsidRPr="00412994">
        <w:rPr>
          <w:rFonts w:eastAsia="Times New Roman" w:cs="Arial"/>
          <w:color w:val="202526"/>
          <w:szCs w:val="24"/>
          <w:lang w:eastAsia="en-GB"/>
        </w:rPr>
        <w:t>defense</w:t>
      </w:r>
      <w:proofErr w:type="spellEnd"/>
      <w:r w:rsidRPr="00412994">
        <w:rPr>
          <w:rFonts w:eastAsia="Times New Roman" w:cs="Arial"/>
          <w:color w:val="202526"/>
          <w:szCs w:val="24"/>
          <w:lang w:eastAsia="en-GB"/>
        </w:rPr>
        <w:t xml:space="preserve"> by proving it took all reasonable steps to prevent the harassment.</w:t>
      </w:r>
    </w:p>
    <w:p w14:paraId="6C435E5B" w14:textId="77777777" w:rsidR="00C2382E" w:rsidRPr="00412994" w:rsidRDefault="00C2382E" w:rsidP="00C219AF">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color w:val="202526"/>
          <w:szCs w:val="24"/>
          <w:lang w:eastAsia="en-GB"/>
        </w:rPr>
      </w:pPr>
      <w:r w:rsidRPr="00412994">
        <w:rPr>
          <w:rFonts w:eastAsia="Times New Roman" w:cs="Arial"/>
          <w:color w:val="202526"/>
          <w:szCs w:val="24"/>
          <w:lang w:eastAsia="en-GB"/>
        </w:rPr>
        <w:lastRenderedPageBreak/>
        <w:t xml:space="preserve">The Employment Appeal Tribunal (EAT) emphasized that the proper approach to the statutory </w:t>
      </w:r>
      <w:proofErr w:type="spellStart"/>
      <w:r w:rsidRPr="00412994">
        <w:rPr>
          <w:rFonts w:eastAsia="Times New Roman" w:cs="Arial"/>
          <w:color w:val="202526"/>
          <w:szCs w:val="24"/>
          <w:lang w:eastAsia="en-GB"/>
        </w:rPr>
        <w:t>defense</w:t>
      </w:r>
      <w:proofErr w:type="spellEnd"/>
      <w:r w:rsidRPr="00412994">
        <w:rPr>
          <w:rFonts w:eastAsia="Times New Roman" w:cs="Arial"/>
          <w:color w:val="202526"/>
          <w:szCs w:val="24"/>
          <w:lang w:eastAsia="en-GB"/>
        </w:rPr>
        <w:t xml:space="preserve"> involves identifying the steps the employer took to prevent the harassment and considering any further reasonable steps that could have been taken.</w:t>
      </w:r>
    </w:p>
    <w:p w14:paraId="6F87AB49" w14:textId="77777777" w:rsidR="00C2382E" w:rsidRPr="00412994" w:rsidRDefault="00C2382E" w:rsidP="00C219AF">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color w:val="202526"/>
          <w:szCs w:val="24"/>
          <w:lang w:eastAsia="en-GB"/>
        </w:rPr>
      </w:pPr>
      <w:r w:rsidRPr="00412994">
        <w:rPr>
          <w:rFonts w:eastAsia="Times New Roman" w:cs="Arial"/>
          <w:color w:val="202526"/>
          <w:szCs w:val="24"/>
          <w:lang w:eastAsia="en-GB"/>
        </w:rPr>
        <w:t>The EAT found that the initial tribunal failed to consider whether there were additional reasonable steps the council could have taken to prevent the harassment, leading to the decision being set aside and remitted for rehearing.</w:t>
      </w:r>
    </w:p>
    <w:p w14:paraId="42C314D1" w14:textId="77777777" w:rsidR="00C2382E" w:rsidRPr="00412994" w:rsidRDefault="00C2382E" w:rsidP="00C219AF">
      <w:pPr>
        <w:pStyle w:val="ListParagraph"/>
        <w:numPr>
          <w:ilvl w:val="0"/>
          <w:numId w:val="41"/>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color w:val="202526"/>
          <w:szCs w:val="24"/>
          <w:lang w:eastAsia="en-GB"/>
        </w:rPr>
      </w:pPr>
      <w:r w:rsidRPr="00412994">
        <w:rPr>
          <w:rFonts w:eastAsia="Times New Roman" w:cs="Arial"/>
          <w:color w:val="202526"/>
          <w:szCs w:val="24"/>
          <w:lang w:eastAsia="en-GB"/>
        </w:rPr>
        <w:t>The case highlights that simply having a harassment policy may not be sufficient; employers must actively take all reasonable steps to prevent harassment, especially if there is knowledge or suspicion of potential risks.</w:t>
      </w:r>
    </w:p>
    <w:p w14:paraId="496CCB1B" w14:textId="77777777" w:rsidR="00C2382E" w:rsidRPr="00412994" w:rsidRDefault="00C2382E"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eastAsia="Times New Roman" w:cs="Arial"/>
          <w:color w:val="202526"/>
          <w:sz w:val="8"/>
          <w:szCs w:val="8"/>
          <w:lang w:eastAsia="en-GB"/>
        </w:rPr>
      </w:pPr>
    </w:p>
    <w:p w14:paraId="0E1D3383" w14:textId="77777777" w:rsidR="00C219AF" w:rsidRDefault="00C219AF" w:rsidP="00173D09">
      <w:pPr>
        <w:pStyle w:val="Heading2"/>
        <w:numPr>
          <w:ilvl w:val="0"/>
          <w:numId w:val="0"/>
        </w:numPr>
        <w:ind w:left="720"/>
        <w:rPr>
          <w:shd w:val="clear" w:color="auto" w:fill="FFFFFF"/>
        </w:rPr>
      </w:pPr>
    </w:p>
    <w:p w14:paraId="10EA616A" w14:textId="3E278B71" w:rsidR="000523C6" w:rsidRPr="00412994" w:rsidRDefault="001B539C" w:rsidP="00173D09">
      <w:pPr>
        <w:pStyle w:val="Heading2"/>
        <w:rPr>
          <w:shd w:val="clear" w:color="auto" w:fill="FFFFFF"/>
        </w:rPr>
      </w:pPr>
      <w:bookmarkStart w:id="16" w:name="_Toc181889864"/>
      <w:r w:rsidRPr="00412994">
        <w:rPr>
          <w:shd w:val="clear" w:color="auto" w:fill="FFFFFF"/>
        </w:rPr>
        <w:t xml:space="preserve">Employers taking reasonable </w:t>
      </w:r>
      <w:proofErr w:type="gramStart"/>
      <w:r w:rsidRPr="00412994">
        <w:rPr>
          <w:shd w:val="clear" w:color="auto" w:fill="FFFFFF"/>
        </w:rPr>
        <w:t>steps</w:t>
      </w:r>
      <w:bookmarkEnd w:id="16"/>
      <w:proofErr w:type="gramEnd"/>
    </w:p>
    <w:p w14:paraId="31C3E779" w14:textId="77777777" w:rsidR="00C219AF" w:rsidRDefault="00C219AF" w:rsidP="00C219AF">
      <w:pPr>
        <w:spacing w:after="0" w:line="240" w:lineRule="auto"/>
        <w:jc w:val="both"/>
        <w:rPr>
          <w:rFonts w:cs="Arial"/>
        </w:rPr>
      </w:pPr>
    </w:p>
    <w:p w14:paraId="36A7799F" w14:textId="6CC08BE6" w:rsidR="001B539C" w:rsidRPr="00412994" w:rsidRDefault="001B539C" w:rsidP="00C219AF">
      <w:pPr>
        <w:spacing w:after="0" w:line="240" w:lineRule="auto"/>
        <w:jc w:val="both"/>
        <w:rPr>
          <w:rFonts w:cs="Arial"/>
        </w:rPr>
      </w:pPr>
      <w:r w:rsidRPr="00412994">
        <w:rPr>
          <w:rFonts w:cs="Arial"/>
        </w:rPr>
        <w:t xml:space="preserve">The Equality Act 2010 provides legal protection for employees in respect of unlawful discrimination and harassment on the grounds of any protected characteristic, which include race. Under the </w:t>
      </w:r>
      <w:r w:rsidR="00412994">
        <w:rPr>
          <w:rFonts w:cs="Arial"/>
        </w:rPr>
        <w:t>Equality Act 2010</w:t>
      </w:r>
      <w:r w:rsidRPr="00412994">
        <w:rPr>
          <w:rFonts w:cs="Arial"/>
        </w:rPr>
        <w:t xml:space="preserve">, an employer will be liable for any breach of the </w:t>
      </w:r>
      <w:r w:rsidR="00412994">
        <w:rPr>
          <w:rFonts w:cs="Arial"/>
        </w:rPr>
        <w:t xml:space="preserve">Act </w:t>
      </w:r>
      <w:r w:rsidRPr="00412994">
        <w:rPr>
          <w:rFonts w:cs="Arial"/>
        </w:rPr>
        <w:t>committed by any of its employees if that breach occurred during the course of employment, regardless of whether the employer had knowledge of, or approved, the breach.</w:t>
      </w:r>
    </w:p>
    <w:p w14:paraId="1A83035F" w14:textId="77777777" w:rsidR="00C219AF" w:rsidRDefault="00C219AF" w:rsidP="00C219AF">
      <w:pPr>
        <w:spacing w:after="0" w:line="240" w:lineRule="auto"/>
        <w:jc w:val="both"/>
        <w:rPr>
          <w:rFonts w:cs="Arial"/>
        </w:rPr>
      </w:pPr>
    </w:p>
    <w:p w14:paraId="51F1A72C" w14:textId="4393DC9B" w:rsidR="001B539C" w:rsidRPr="00412994" w:rsidRDefault="001B539C" w:rsidP="00C219AF">
      <w:pPr>
        <w:spacing w:after="0" w:line="240" w:lineRule="auto"/>
        <w:jc w:val="both"/>
        <w:rPr>
          <w:rFonts w:cs="Arial"/>
        </w:rPr>
      </w:pPr>
      <w:r w:rsidRPr="00412994">
        <w:rPr>
          <w:rFonts w:cs="Arial"/>
        </w:rPr>
        <w:t xml:space="preserve">The </w:t>
      </w:r>
      <w:r w:rsidR="00412994">
        <w:rPr>
          <w:rFonts w:cs="Arial"/>
        </w:rPr>
        <w:t xml:space="preserve">Equality Act 2010 </w:t>
      </w:r>
      <w:r w:rsidRPr="00412994">
        <w:rPr>
          <w:rFonts w:cs="Arial"/>
        </w:rPr>
        <w:t>does, however, provide a defence for an employer who would otherwise be vicariously liable for the acts of one of its employees, if the employer can show that it took all reasonable steps to prevent the employee in question from doing that act or doing anything of that kind.</w:t>
      </w:r>
    </w:p>
    <w:p w14:paraId="3DF98202" w14:textId="77777777" w:rsidR="00C219AF" w:rsidRDefault="00C219AF" w:rsidP="00C219AF">
      <w:pPr>
        <w:spacing w:after="0" w:line="240" w:lineRule="auto"/>
        <w:jc w:val="both"/>
        <w:rPr>
          <w:rFonts w:cs="Arial"/>
        </w:rPr>
      </w:pPr>
    </w:p>
    <w:p w14:paraId="3EA717BB" w14:textId="2F251DEB" w:rsidR="001B539C" w:rsidRPr="00412994" w:rsidRDefault="001B539C" w:rsidP="00C219AF">
      <w:pPr>
        <w:spacing w:after="0" w:line="240" w:lineRule="auto"/>
        <w:jc w:val="both"/>
        <w:rPr>
          <w:rFonts w:cs="Arial"/>
        </w:rPr>
      </w:pPr>
      <w:r w:rsidRPr="00412994">
        <w:rPr>
          <w:rFonts w:cs="Arial"/>
        </w:rPr>
        <w:t>Historically, this defence has proved notoriously difficult for an employer to successfully argue. In reaching a decision on whether the seemingly high threshold to establish this defence has been met, an Employment Tribunal will consider many factors, including but not limited to:</w:t>
      </w:r>
    </w:p>
    <w:p w14:paraId="2B46251F" w14:textId="77777777" w:rsidR="001B539C" w:rsidRPr="00412994" w:rsidRDefault="001B539C"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Whether the employer had a comprehensive written equal opportunities policy and training was provided in relation to </w:t>
      </w:r>
      <w:proofErr w:type="gramStart"/>
      <w:r w:rsidRPr="00412994">
        <w:rPr>
          <w:rFonts w:cs="Arial"/>
          <w:color w:val="000000" w:themeColor="text1"/>
        </w:rPr>
        <w:t>that;</w:t>
      </w:r>
      <w:proofErr w:type="gramEnd"/>
    </w:p>
    <w:p w14:paraId="3D0AD4FA" w14:textId="77777777" w:rsidR="001B539C" w:rsidRPr="00412994" w:rsidRDefault="001B539C"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Whether the employer had previously taken any disciplinary action where discrimination had </w:t>
      </w:r>
      <w:proofErr w:type="gramStart"/>
      <w:r w:rsidRPr="00412994">
        <w:rPr>
          <w:rFonts w:cs="Arial"/>
          <w:color w:val="000000" w:themeColor="text1"/>
        </w:rPr>
        <w:t>occurred;</w:t>
      </w:r>
      <w:proofErr w:type="gramEnd"/>
    </w:p>
    <w:p w14:paraId="639955EE" w14:textId="77777777" w:rsidR="001B539C" w:rsidRPr="00412994" w:rsidRDefault="001B539C"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How effective the steps taken by the employer were likely to be at the time that they were taken; and</w:t>
      </w:r>
    </w:p>
    <w:p w14:paraId="0C8286DF" w14:textId="77777777" w:rsidR="001B539C" w:rsidRPr="00412994" w:rsidRDefault="001B539C"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How effective those steps proved to be in practice.</w:t>
      </w:r>
    </w:p>
    <w:p w14:paraId="7530D0A0" w14:textId="77777777" w:rsidR="00C219AF" w:rsidRDefault="00C219AF" w:rsidP="00C219AF">
      <w:pPr>
        <w:spacing w:after="0" w:line="240" w:lineRule="auto"/>
        <w:jc w:val="both"/>
        <w:rPr>
          <w:rStyle w:val="hgkelc"/>
          <w:rFonts w:cs="Arial"/>
          <w:color w:val="1F1F1F"/>
          <w:szCs w:val="24"/>
          <w:shd w:val="clear" w:color="auto" w:fill="FFFFFF"/>
        </w:rPr>
      </w:pPr>
    </w:p>
    <w:p w14:paraId="3F675D2C" w14:textId="114DEAAE" w:rsidR="001B539C" w:rsidRPr="00412994" w:rsidRDefault="001B539C" w:rsidP="00C219AF">
      <w:pPr>
        <w:spacing w:after="0" w:line="240" w:lineRule="auto"/>
        <w:jc w:val="both"/>
        <w:rPr>
          <w:rStyle w:val="hgkelc"/>
          <w:rFonts w:cs="Arial"/>
          <w:color w:val="1F1F1F"/>
          <w:szCs w:val="24"/>
          <w:shd w:val="clear" w:color="auto" w:fill="FFFFFF"/>
        </w:rPr>
      </w:pPr>
      <w:r w:rsidRPr="00412994">
        <w:rPr>
          <w:rStyle w:val="hgkelc"/>
          <w:rFonts w:cs="Arial"/>
          <w:color w:val="1F1F1F"/>
          <w:szCs w:val="24"/>
          <w:shd w:val="clear" w:color="auto" w:fill="FFFFFF"/>
        </w:rPr>
        <w:t xml:space="preserve">Employers can challenge a harassment claim in three ways: </w:t>
      </w:r>
    </w:p>
    <w:p w14:paraId="7B6E4503" w14:textId="77777777" w:rsidR="001B539C" w:rsidRPr="00412994" w:rsidRDefault="001B539C" w:rsidP="00C219AF">
      <w:pPr>
        <w:pStyle w:val="ListParagraph"/>
        <w:numPr>
          <w:ilvl w:val="0"/>
          <w:numId w:val="38"/>
        </w:numPr>
        <w:spacing w:after="0" w:line="240" w:lineRule="auto"/>
        <w:jc w:val="both"/>
        <w:rPr>
          <w:rStyle w:val="hgkelc"/>
          <w:rFonts w:cs="Arial"/>
          <w:color w:val="1F1F1F"/>
          <w:szCs w:val="24"/>
          <w:shd w:val="clear" w:color="auto" w:fill="FFFFFF"/>
        </w:rPr>
      </w:pPr>
      <w:r w:rsidRPr="00412994">
        <w:rPr>
          <w:rStyle w:val="hgkelc"/>
          <w:rFonts w:cs="Arial"/>
          <w:color w:val="1F1F1F"/>
          <w:szCs w:val="24"/>
          <w:shd w:val="clear" w:color="auto" w:fill="FFFFFF"/>
        </w:rPr>
        <w:t>by disputing the factual basis of the claim</w:t>
      </w:r>
    </w:p>
    <w:p w14:paraId="505A70BC" w14:textId="1C1CBF67" w:rsidR="001B539C" w:rsidRPr="00412994" w:rsidRDefault="001B539C" w:rsidP="00C219AF">
      <w:pPr>
        <w:pStyle w:val="ListParagraph"/>
        <w:numPr>
          <w:ilvl w:val="0"/>
          <w:numId w:val="38"/>
        </w:numPr>
        <w:spacing w:after="0" w:line="240" w:lineRule="auto"/>
        <w:jc w:val="both"/>
        <w:rPr>
          <w:rStyle w:val="hgkelc"/>
          <w:rFonts w:cs="Arial"/>
          <w:color w:val="1F1F1F"/>
          <w:szCs w:val="24"/>
          <w:shd w:val="clear" w:color="auto" w:fill="FFFFFF"/>
        </w:rPr>
      </w:pPr>
      <w:r w:rsidRPr="00412994">
        <w:rPr>
          <w:rStyle w:val="hgkelc"/>
          <w:rFonts w:cs="Arial"/>
          <w:color w:val="1F1F1F"/>
          <w:szCs w:val="24"/>
          <w:shd w:val="clear" w:color="auto" w:fill="FFFFFF"/>
        </w:rPr>
        <w:t xml:space="preserve">by arguing that the behaviour did not legally constitute harassment (e.g., it was not linked to a protected characteristic); or </w:t>
      </w:r>
    </w:p>
    <w:p w14:paraId="320029C3" w14:textId="3401EB2C" w:rsidR="000523C6" w:rsidRPr="00412994" w:rsidRDefault="001B539C" w:rsidP="00C219AF">
      <w:pPr>
        <w:pStyle w:val="ListParagraph"/>
        <w:numPr>
          <w:ilvl w:val="0"/>
          <w:numId w:val="38"/>
        </w:numPr>
        <w:spacing w:after="0" w:line="240" w:lineRule="auto"/>
        <w:jc w:val="both"/>
        <w:rPr>
          <w:rFonts w:cs="Arial"/>
          <w:color w:val="1F1F1F"/>
          <w:szCs w:val="24"/>
          <w:shd w:val="clear" w:color="auto" w:fill="FFFFFF"/>
        </w:rPr>
      </w:pPr>
      <w:r w:rsidRPr="00412994">
        <w:rPr>
          <w:rStyle w:val="hgkelc"/>
          <w:rFonts w:cs="Arial"/>
          <w:color w:val="1F1F1F"/>
          <w:szCs w:val="24"/>
          <w:shd w:val="clear" w:color="auto" w:fill="FFFFFF"/>
        </w:rPr>
        <w:t>by demonstrating that they took all reasonable steps to prevent harassment.</w:t>
      </w:r>
      <w:r w:rsidR="00C2382E" w:rsidRPr="00412994">
        <w:rPr>
          <w:rStyle w:val="hgkelc"/>
          <w:rFonts w:cs="Arial"/>
          <w:color w:val="1F1F1F"/>
          <w:szCs w:val="24"/>
          <w:shd w:val="clear" w:color="auto" w:fill="FFFFFF"/>
        </w:rPr>
        <w:t xml:space="preserve"> </w:t>
      </w:r>
      <w:r w:rsidRPr="00412994">
        <w:rPr>
          <w:rStyle w:val="hgkelc"/>
          <w:rFonts w:cs="Arial"/>
          <w:color w:val="1F1F1F"/>
          <w:szCs w:val="24"/>
          <w:shd w:val="clear" w:color="auto" w:fill="FFFFFF"/>
        </w:rPr>
        <w:t xml:space="preserve">This </w:t>
      </w:r>
      <w:r w:rsidR="00C2382E" w:rsidRPr="00412994">
        <w:rPr>
          <w:rStyle w:val="hgkelc"/>
          <w:rFonts w:cs="Arial"/>
          <w:color w:val="1F1F1F"/>
          <w:szCs w:val="24"/>
          <w:shd w:val="clear" w:color="auto" w:fill="FFFFFF"/>
        </w:rPr>
        <w:t xml:space="preserve">may </w:t>
      </w:r>
      <w:r w:rsidRPr="00412994">
        <w:rPr>
          <w:rStyle w:val="hgkelc"/>
          <w:rFonts w:cs="Arial"/>
          <w:color w:val="1F1F1F"/>
          <w:szCs w:val="24"/>
          <w:shd w:val="clear" w:color="auto" w:fill="FFFFFF"/>
        </w:rPr>
        <w:t>include</w:t>
      </w:r>
      <w:r w:rsidR="00C2382E" w:rsidRPr="00412994">
        <w:rPr>
          <w:rStyle w:val="hgkelc"/>
          <w:rFonts w:cs="Arial"/>
          <w:color w:val="1F1F1F"/>
          <w:szCs w:val="24"/>
          <w:shd w:val="clear" w:color="auto" w:fill="FFFFFF"/>
        </w:rPr>
        <w:t xml:space="preserve"> showing that they have</w:t>
      </w:r>
      <w:r w:rsidRPr="00412994">
        <w:rPr>
          <w:rStyle w:val="hgkelc"/>
          <w:rFonts w:cs="Arial"/>
          <w:color w:val="1F1F1F"/>
          <w:szCs w:val="24"/>
          <w:shd w:val="clear" w:color="auto" w:fill="FFFFFF"/>
        </w:rPr>
        <w:t xml:space="preserve"> policies</w:t>
      </w:r>
      <w:r w:rsidR="00C2382E" w:rsidRPr="00412994">
        <w:rPr>
          <w:rStyle w:val="hgkelc"/>
          <w:rFonts w:cs="Arial"/>
          <w:color w:val="1F1F1F"/>
          <w:szCs w:val="24"/>
          <w:shd w:val="clear" w:color="auto" w:fill="FFFFFF"/>
        </w:rPr>
        <w:t xml:space="preserve"> in place</w:t>
      </w:r>
      <w:r w:rsidRPr="00412994">
        <w:rPr>
          <w:rStyle w:val="hgkelc"/>
          <w:rFonts w:cs="Arial"/>
          <w:color w:val="1F1F1F"/>
          <w:szCs w:val="24"/>
          <w:shd w:val="clear" w:color="auto" w:fill="FFFFFF"/>
        </w:rPr>
        <w:t xml:space="preserve">, </w:t>
      </w:r>
      <w:r w:rsidR="00C2382E" w:rsidRPr="00412994">
        <w:rPr>
          <w:rStyle w:val="hgkelc"/>
          <w:rFonts w:cs="Arial"/>
          <w:color w:val="1F1F1F"/>
          <w:szCs w:val="24"/>
          <w:shd w:val="clear" w:color="auto" w:fill="FFFFFF"/>
        </w:rPr>
        <w:t>have provided</w:t>
      </w:r>
      <w:r w:rsidRPr="00412994">
        <w:rPr>
          <w:rStyle w:val="hgkelc"/>
          <w:rFonts w:cs="Arial"/>
          <w:color w:val="1F1F1F"/>
          <w:szCs w:val="24"/>
          <w:shd w:val="clear" w:color="auto" w:fill="FFFFFF"/>
        </w:rPr>
        <w:t xml:space="preserve"> training</w:t>
      </w:r>
      <w:r w:rsidR="00C2382E" w:rsidRPr="00412994">
        <w:rPr>
          <w:rStyle w:val="hgkelc"/>
          <w:rFonts w:cs="Arial"/>
          <w:color w:val="1F1F1F"/>
          <w:szCs w:val="24"/>
          <w:shd w:val="clear" w:color="auto" w:fill="FFFFFF"/>
        </w:rPr>
        <w:t xml:space="preserve"> to staff</w:t>
      </w:r>
      <w:r w:rsidRPr="00412994">
        <w:rPr>
          <w:rStyle w:val="hgkelc"/>
          <w:rFonts w:cs="Arial"/>
          <w:color w:val="1F1F1F"/>
          <w:szCs w:val="24"/>
          <w:shd w:val="clear" w:color="auto" w:fill="FFFFFF"/>
        </w:rPr>
        <w:t xml:space="preserve">, and promptly </w:t>
      </w:r>
      <w:r w:rsidR="00C2382E" w:rsidRPr="00412994">
        <w:rPr>
          <w:rStyle w:val="hgkelc"/>
          <w:rFonts w:cs="Arial"/>
          <w:color w:val="1F1F1F"/>
          <w:szCs w:val="24"/>
          <w:shd w:val="clear" w:color="auto" w:fill="FFFFFF"/>
        </w:rPr>
        <w:t>address</w:t>
      </w:r>
      <w:r w:rsidRPr="00412994">
        <w:rPr>
          <w:rStyle w:val="hgkelc"/>
          <w:rFonts w:cs="Arial"/>
          <w:color w:val="1F1F1F"/>
          <w:szCs w:val="24"/>
          <w:shd w:val="clear" w:color="auto" w:fill="FFFFFF"/>
        </w:rPr>
        <w:t xml:space="preserve"> complaints to mitigate the risk of harassment occurring.</w:t>
      </w:r>
    </w:p>
    <w:p w14:paraId="3F1AE497" w14:textId="77777777" w:rsidR="00C219AF" w:rsidRDefault="00C219AF" w:rsidP="00C219AF">
      <w:pPr>
        <w:spacing w:after="0" w:line="240" w:lineRule="auto"/>
        <w:jc w:val="both"/>
        <w:rPr>
          <w:rFonts w:cs="Arial"/>
        </w:rPr>
      </w:pPr>
    </w:p>
    <w:p w14:paraId="2EAEC953" w14:textId="27FD6510" w:rsidR="000523C6" w:rsidRDefault="00C2382E" w:rsidP="00C219AF">
      <w:pPr>
        <w:spacing w:after="0" w:line="240" w:lineRule="auto"/>
        <w:jc w:val="both"/>
        <w:rPr>
          <w:rFonts w:cs="Arial"/>
        </w:rPr>
      </w:pPr>
      <w:r w:rsidRPr="00412994">
        <w:rPr>
          <w:rFonts w:cs="Arial"/>
        </w:rPr>
        <w:t>However, t</w:t>
      </w:r>
      <w:r w:rsidR="000523C6" w:rsidRPr="00412994">
        <w:rPr>
          <w:rFonts w:cs="Arial"/>
        </w:rPr>
        <w:t xml:space="preserve">he recent case of </w:t>
      </w:r>
      <w:r w:rsidR="000523C6" w:rsidRPr="00412994">
        <w:rPr>
          <w:rFonts w:cs="Arial"/>
          <w:i/>
          <w:iCs/>
        </w:rPr>
        <w:t xml:space="preserve">Allay (UK) Ltd v </w:t>
      </w:r>
      <w:proofErr w:type="spellStart"/>
      <w:r w:rsidR="000523C6" w:rsidRPr="00412994">
        <w:rPr>
          <w:rFonts w:cs="Arial"/>
          <w:i/>
          <w:iCs/>
        </w:rPr>
        <w:t>Gehlen</w:t>
      </w:r>
      <w:proofErr w:type="spellEnd"/>
      <w:r w:rsidR="000523C6" w:rsidRPr="00412994">
        <w:rPr>
          <w:rFonts w:cs="Arial"/>
        </w:rPr>
        <w:t xml:space="preserve"> demonstrates that it will not be enough for employers to merely put in place training on equal opportunities issues for </w:t>
      </w:r>
      <w:r w:rsidR="000523C6" w:rsidRPr="00412994">
        <w:rPr>
          <w:rFonts w:cs="Arial"/>
        </w:rPr>
        <w:lastRenderedPageBreak/>
        <w:t>their workforce in order to successfully defend any claim, particularly where that training has become “stale” and requires refreshing.</w:t>
      </w:r>
    </w:p>
    <w:p w14:paraId="6ADD8DC4" w14:textId="77777777" w:rsidR="00412994" w:rsidRDefault="00412994" w:rsidP="00C219AF">
      <w:pPr>
        <w:spacing w:after="0" w:line="240" w:lineRule="auto"/>
        <w:jc w:val="both"/>
        <w:rPr>
          <w:rFonts w:cs="Arial"/>
        </w:rPr>
      </w:pPr>
    </w:p>
    <w:p w14:paraId="07DCFFC7" w14:textId="77777777" w:rsidR="00412994" w:rsidRPr="00412994" w:rsidRDefault="00412994" w:rsidP="00C219AF">
      <w:pPr>
        <w:spacing w:after="0" w:line="240" w:lineRule="auto"/>
        <w:jc w:val="both"/>
        <w:rPr>
          <w:rFonts w:cs="Arial"/>
        </w:rPr>
      </w:pPr>
    </w:p>
    <w:p w14:paraId="15E19BE3" w14:textId="4EB01463" w:rsidR="00C2382E" w:rsidRPr="00412994" w:rsidRDefault="00C2382E"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u w:val="single"/>
        </w:rPr>
      </w:pPr>
      <w:r w:rsidRPr="00412994">
        <w:rPr>
          <w:rFonts w:cs="Arial"/>
          <w:b/>
          <w:bCs/>
          <w:u w:val="single"/>
        </w:rPr>
        <w:t xml:space="preserve">CASE REVIEW: Allay (UK) Ltd v Mr S </w:t>
      </w:r>
      <w:proofErr w:type="spellStart"/>
      <w:r w:rsidRPr="00412994">
        <w:rPr>
          <w:rFonts w:cs="Arial"/>
          <w:b/>
          <w:bCs/>
          <w:u w:val="single"/>
        </w:rPr>
        <w:t>Gehlen</w:t>
      </w:r>
      <w:proofErr w:type="spellEnd"/>
      <w:r w:rsidRPr="00412994">
        <w:rPr>
          <w:rFonts w:cs="Arial"/>
          <w:b/>
          <w:bCs/>
          <w:u w:val="single"/>
        </w:rPr>
        <w:t>: UKEAT/0031/20/</w:t>
      </w:r>
      <w:proofErr w:type="gramStart"/>
      <w:r w:rsidRPr="00412994">
        <w:rPr>
          <w:rFonts w:cs="Arial"/>
          <w:b/>
          <w:bCs/>
          <w:u w:val="single"/>
        </w:rPr>
        <w:t>AT</w:t>
      </w:r>
      <w:proofErr w:type="gramEnd"/>
    </w:p>
    <w:p w14:paraId="0C95836E" w14:textId="77777777" w:rsidR="00C2382E" w:rsidRPr="00412994" w:rsidRDefault="00C2382E" w:rsidP="00C219AF">
      <w:pPr>
        <w:pStyle w:val="ListParagraph"/>
        <w:numPr>
          <w:ilvl w:val="0"/>
          <w:numId w:val="40"/>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 xml:space="preserve">Mr. </w:t>
      </w:r>
      <w:proofErr w:type="spellStart"/>
      <w:r w:rsidRPr="00412994">
        <w:rPr>
          <w:rFonts w:cs="Arial"/>
        </w:rPr>
        <w:t>Gehlen</w:t>
      </w:r>
      <w:proofErr w:type="spellEnd"/>
      <w:r w:rsidRPr="00412994">
        <w:rPr>
          <w:rFonts w:cs="Arial"/>
        </w:rPr>
        <w:t>, an Indian-origin employee, was subjected to regular racist comments by a colleague, which he reported to a manager who failed to take action. The Employment Tribunal found that the training provided by Allay (UK) Ltd was outdated and ineffective, leading to a ruling of harassment related to race.</w:t>
      </w:r>
    </w:p>
    <w:p w14:paraId="5EDFCA55" w14:textId="77777777" w:rsidR="00C2382E" w:rsidRPr="00412994" w:rsidRDefault="00C2382E" w:rsidP="00C219AF">
      <w:pPr>
        <w:pStyle w:val="ListParagraph"/>
        <w:numPr>
          <w:ilvl w:val="0"/>
          <w:numId w:val="40"/>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 xml:space="preserve">The Employment Tribunal rejected the employer’s </w:t>
      </w:r>
      <w:proofErr w:type="spellStart"/>
      <w:r w:rsidRPr="00412994">
        <w:rPr>
          <w:rFonts w:cs="Arial"/>
        </w:rPr>
        <w:t>defense</w:t>
      </w:r>
      <w:proofErr w:type="spellEnd"/>
      <w:r w:rsidRPr="00412994">
        <w:rPr>
          <w:rFonts w:cs="Arial"/>
        </w:rPr>
        <w:t xml:space="preserve"> that they had taken all reasonable steps to prevent harassment, noting that the training provided in 2015 had become “stale” and was not refreshed in a timely manner.</w:t>
      </w:r>
    </w:p>
    <w:p w14:paraId="4A6201A2" w14:textId="77777777" w:rsidR="00C2382E" w:rsidRPr="00412994" w:rsidRDefault="00C2382E" w:rsidP="00C219AF">
      <w:pPr>
        <w:pStyle w:val="ListParagraph"/>
        <w:numPr>
          <w:ilvl w:val="0"/>
          <w:numId w:val="40"/>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The Employment Appeal Tribunal upheld the decision, emphasizing the need for employers to provide significant and effective training on equality and diversity, and to ensure that such training is understood and retained by employees.</w:t>
      </w:r>
    </w:p>
    <w:p w14:paraId="2CE58D21" w14:textId="60DC8B52" w:rsidR="00C2382E" w:rsidRPr="00412994" w:rsidRDefault="00C2382E" w:rsidP="00C219AF">
      <w:pPr>
        <w:pStyle w:val="ListParagraph"/>
        <w:numPr>
          <w:ilvl w:val="0"/>
          <w:numId w:val="40"/>
        </w:numPr>
        <w:pBdr>
          <w:top w:val="single" w:sz="4" w:space="1" w:color="auto"/>
          <w:left w:val="single" w:sz="4" w:space="4" w:color="auto"/>
          <w:bottom w:val="single" w:sz="4" w:space="1" w:color="auto"/>
          <w:right w:val="single" w:sz="4" w:space="4" w:color="auto"/>
        </w:pBdr>
        <w:spacing w:after="0" w:line="240" w:lineRule="auto"/>
        <w:jc w:val="both"/>
        <w:rPr>
          <w:rFonts w:cs="Arial"/>
        </w:rPr>
      </w:pPr>
      <w:r w:rsidRPr="00412994">
        <w:rPr>
          <w:rFonts w:cs="Arial"/>
        </w:rPr>
        <w:t xml:space="preserve">The case highlights the importance for employers to regularly review and update their equality and whistleblowing policies, and to ensure that training is relevant, comprehensive, and frequently refreshed to prevent harassment and </w:t>
      </w:r>
      <w:r w:rsidR="00412994">
        <w:rPr>
          <w:rFonts w:cs="Arial"/>
        </w:rPr>
        <w:t>d</w:t>
      </w:r>
      <w:r w:rsidRPr="00412994">
        <w:rPr>
          <w:rFonts w:cs="Arial"/>
        </w:rPr>
        <w:t>iscrimination.</w:t>
      </w:r>
    </w:p>
    <w:p w14:paraId="4D14455F" w14:textId="77777777" w:rsidR="000523C6" w:rsidRPr="00412994" w:rsidRDefault="000523C6" w:rsidP="00C219AF">
      <w:pPr>
        <w:spacing w:after="0" w:line="240" w:lineRule="auto"/>
        <w:jc w:val="both"/>
        <w:rPr>
          <w:rFonts w:cs="Arial"/>
          <w:b/>
          <w:bCs/>
          <w:color w:val="000000"/>
          <w:szCs w:val="24"/>
          <w:shd w:val="clear" w:color="auto" w:fill="FFFFFF"/>
        </w:rPr>
      </w:pPr>
    </w:p>
    <w:p w14:paraId="7F847F12" w14:textId="05C03D2A" w:rsidR="000523C6" w:rsidRPr="00412994" w:rsidRDefault="000523C6" w:rsidP="00173D09">
      <w:pPr>
        <w:pStyle w:val="Heading2"/>
        <w:rPr>
          <w:shd w:val="clear" w:color="auto" w:fill="FFFFFF"/>
        </w:rPr>
      </w:pPr>
      <w:bookmarkStart w:id="17" w:name="_Toc181889865"/>
      <w:r w:rsidRPr="00412994">
        <w:rPr>
          <w:shd w:val="clear" w:color="auto" w:fill="FFFFFF"/>
        </w:rPr>
        <w:t>How does all reasonable steps work practically?</w:t>
      </w:r>
      <w:bookmarkEnd w:id="17"/>
    </w:p>
    <w:p w14:paraId="615E85A1" w14:textId="77777777" w:rsidR="00C219AF" w:rsidRDefault="00C219AF" w:rsidP="00C219AF">
      <w:pPr>
        <w:spacing w:after="0" w:line="240" w:lineRule="auto"/>
        <w:jc w:val="both"/>
        <w:rPr>
          <w:rFonts w:cs="Arial"/>
        </w:rPr>
      </w:pPr>
    </w:p>
    <w:p w14:paraId="55797705" w14:textId="385CF638" w:rsidR="00C2382E" w:rsidRPr="00412994" w:rsidRDefault="00C2382E" w:rsidP="00C219AF">
      <w:pPr>
        <w:spacing w:after="0" w:line="240" w:lineRule="auto"/>
        <w:jc w:val="both"/>
        <w:rPr>
          <w:rFonts w:cs="Arial"/>
        </w:rPr>
      </w:pPr>
      <w:r w:rsidRPr="00412994">
        <w:rPr>
          <w:rFonts w:cs="Arial"/>
        </w:rPr>
        <w:t xml:space="preserve">The following cases demonstrate how “all reasonable steps” in harassment claims works practically: </w:t>
      </w:r>
    </w:p>
    <w:p w14:paraId="45F6F546" w14:textId="77777777" w:rsidR="00C2382E" w:rsidRPr="00412994" w:rsidRDefault="00C2382E" w:rsidP="00C219AF">
      <w:pPr>
        <w:spacing w:after="0" w:line="240" w:lineRule="auto"/>
        <w:jc w:val="both"/>
        <w:rPr>
          <w:rFonts w:cs="Arial"/>
          <w:b/>
          <w:bCs/>
          <w:u w:val="single"/>
        </w:rPr>
      </w:pPr>
    </w:p>
    <w:p w14:paraId="53DD472E" w14:textId="56B1EA7A" w:rsidR="000523C6" w:rsidRPr="00412994" w:rsidRDefault="000523C6" w:rsidP="00C219AF">
      <w:pPr>
        <w:pBdr>
          <w:top w:val="single" w:sz="4" w:space="1" w:color="auto"/>
          <w:left w:val="single" w:sz="4" w:space="4" w:color="auto"/>
          <w:bottom w:val="single" w:sz="4" w:space="1" w:color="auto"/>
          <w:right w:val="single" w:sz="4" w:space="4" w:color="auto"/>
        </w:pBdr>
        <w:spacing w:after="0" w:line="240" w:lineRule="auto"/>
        <w:jc w:val="both"/>
        <w:rPr>
          <w:rFonts w:cs="Arial"/>
          <w:b/>
          <w:bCs/>
          <w:color w:val="212529"/>
          <w:u w:val="single"/>
          <w:shd w:val="clear" w:color="auto" w:fill="FFFFFF"/>
        </w:rPr>
      </w:pPr>
      <w:r w:rsidRPr="00412994">
        <w:rPr>
          <w:rFonts w:cs="Arial"/>
          <w:b/>
          <w:bCs/>
          <w:u w:val="single"/>
        </w:rPr>
        <w:t xml:space="preserve">CASE REVIEW: </w:t>
      </w:r>
      <w:proofErr w:type="spellStart"/>
      <w:r w:rsidRPr="00412994">
        <w:rPr>
          <w:rFonts w:cs="Arial"/>
          <w:b/>
          <w:bCs/>
          <w:color w:val="212529"/>
          <w:u w:val="single"/>
          <w:shd w:val="clear" w:color="auto" w:fill="FFFFFF"/>
        </w:rPr>
        <w:t>Caspersz</w:t>
      </w:r>
      <w:proofErr w:type="spellEnd"/>
      <w:r w:rsidRPr="00412994">
        <w:rPr>
          <w:rFonts w:cs="Arial"/>
          <w:b/>
          <w:bCs/>
          <w:color w:val="212529"/>
          <w:u w:val="single"/>
          <w:shd w:val="clear" w:color="auto" w:fill="FFFFFF"/>
        </w:rPr>
        <w:t xml:space="preserve"> v Ministry of Defence EAT/0599/05</w:t>
      </w:r>
    </w:p>
    <w:p w14:paraId="0F3EA507" w14:textId="77777777" w:rsidR="00C2382E" w:rsidRPr="00412994" w:rsidRDefault="00C2382E" w:rsidP="00C219AF">
      <w:pPr>
        <w:pStyle w:val="ListParagraph"/>
        <w:numPr>
          <w:ilvl w:val="0"/>
          <w:numId w:val="42"/>
        </w:numPr>
        <w:pBdr>
          <w:top w:val="single" w:sz="4" w:space="1" w:color="auto"/>
          <w:left w:val="single" w:sz="4" w:space="4" w:color="auto"/>
          <w:bottom w:val="single" w:sz="4" w:space="1" w:color="auto"/>
          <w:right w:val="single" w:sz="4" w:space="4" w:color="auto"/>
        </w:pBdr>
        <w:spacing w:after="0" w:line="240" w:lineRule="auto"/>
        <w:jc w:val="both"/>
        <w:rPr>
          <w:rFonts w:cs="Arial"/>
          <w:color w:val="212529"/>
          <w:shd w:val="clear" w:color="auto" w:fill="FFFFFF"/>
        </w:rPr>
      </w:pPr>
      <w:r w:rsidRPr="00412994">
        <w:rPr>
          <w:rFonts w:cs="Arial"/>
          <w:color w:val="212529"/>
          <w:shd w:val="clear" w:color="auto" w:fill="FFFFFF"/>
        </w:rPr>
        <w:t xml:space="preserve">The Employment Appeal Tribunal (EAT) upheld a tribunal’s decision that the Ministry of Defence (MOD) had taken all reasonably practicable steps to prevent harassment, satisfying the statutory </w:t>
      </w:r>
      <w:proofErr w:type="spellStart"/>
      <w:r w:rsidRPr="00412994">
        <w:rPr>
          <w:rFonts w:cs="Arial"/>
          <w:color w:val="212529"/>
          <w:shd w:val="clear" w:color="auto" w:fill="FFFFFF"/>
        </w:rPr>
        <w:t>defense</w:t>
      </w:r>
      <w:proofErr w:type="spellEnd"/>
      <w:r w:rsidRPr="00412994">
        <w:rPr>
          <w:rFonts w:cs="Arial"/>
          <w:color w:val="212529"/>
          <w:shd w:val="clear" w:color="auto" w:fill="FFFFFF"/>
        </w:rPr>
        <w:t>.</w:t>
      </w:r>
    </w:p>
    <w:p w14:paraId="714DBE6E" w14:textId="77777777" w:rsidR="00C2382E" w:rsidRPr="00412994" w:rsidRDefault="00C2382E" w:rsidP="00C219AF">
      <w:pPr>
        <w:pStyle w:val="ListParagraph"/>
        <w:numPr>
          <w:ilvl w:val="0"/>
          <w:numId w:val="42"/>
        </w:numPr>
        <w:pBdr>
          <w:top w:val="single" w:sz="4" w:space="1" w:color="auto"/>
          <w:left w:val="single" w:sz="4" w:space="4" w:color="auto"/>
          <w:bottom w:val="single" w:sz="4" w:space="1" w:color="auto"/>
          <w:right w:val="single" w:sz="4" w:space="4" w:color="auto"/>
        </w:pBdr>
        <w:spacing w:after="0" w:line="240" w:lineRule="auto"/>
        <w:jc w:val="both"/>
        <w:rPr>
          <w:rFonts w:cs="Arial"/>
          <w:color w:val="212529"/>
          <w:shd w:val="clear" w:color="auto" w:fill="FFFFFF"/>
        </w:rPr>
      </w:pPr>
      <w:r w:rsidRPr="00412994">
        <w:rPr>
          <w:rFonts w:cs="Arial"/>
          <w:color w:val="212529"/>
          <w:shd w:val="clear" w:color="auto" w:fill="FFFFFF"/>
        </w:rPr>
        <w:t xml:space="preserve">Ms. </w:t>
      </w:r>
      <w:proofErr w:type="spellStart"/>
      <w:r w:rsidRPr="00412994">
        <w:rPr>
          <w:rFonts w:cs="Arial"/>
          <w:color w:val="212529"/>
          <w:shd w:val="clear" w:color="auto" w:fill="FFFFFF"/>
        </w:rPr>
        <w:t>Caspersz</w:t>
      </w:r>
      <w:proofErr w:type="spellEnd"/>
      <w:r w:rsidRPr="00412994">
        <w:rPr>
          <w:rFonts w:cs="Arial"/>
          <w:color w:val="212529"/>
          <w:shd w:val="clear" w:color="auto" w:fill="FFFFFF"/>
        </w:rPr>
        <w:t>, a staff officer, experienced inappropriate comments from her superior, Mr. McDermott, and the MOD took immediate action by investigating, suspending, and eventually terminating his employment.</w:t>
      </w:r>
    </w:p>
    <w:p w14:paraId="4E8F6757" w14:textId="77777777" w:rsidR="00C2382E" w:rsidRPr="00412994" w:rsidRDefault="00C2382E" w:rsidP="00C219AF">
      <w:pPr>
        <w:pStyle w:val="ListParagraph"/>
        <w:numPr>
          <w:ilvl w:val="0"/>
          <w:numId w:val="42"/>
        </w:numPr>
        <w:pBdr>
          <w:top w:val="single" w:sz="4" w:space="1" w:color="auto"/>
          <w:left w:val="single" w:sz="4" w:space="4" w:color="auto"/>
          <w:bottom w:val="single" w:sz="4" w:space="1" w:color="auto"/>
          <w:right w:val="single" w:sz="4" w:space="4" w:color="auto"/>
        </w:pBdr>
        <w:spacing w:after="0" w:line="240" w:lineRule="auto"/>
        <w:jc w:val="both"/>
        <w:rPr>
          <w:rFonts w:cs="Arial"/>
          <w:color w:val="212529"/>
          <w:shd w:val="clear" w:color="auto" w:fill="FFFFFF"/>
        </w:rPr>
      </w:pPr>
      <w:r w:rsidRPr="00412994">
        <w:rPr>
          <w:rFonts w:cs="Arial"/>
          <w:color w:val="212529"/>
          <w:shd w:val="clear" w:color="auto" w:fill="FFFFFF"/>
        </w:rPr>
        <w:t>The MOD had a “Dignity at Work” policy, and its actions complied with the Code of Practice on the Protection of the Dignity of Women and Men at Work, demonstrating the seriousness with which it handled harassment allegations.</w:t>
      </w:r>
    </w:p>
    <w:p w14:paraId="14E57D0E" w14:textId="1B703615" w:rsidR="00C2382E" w:rsidRPr="00412994" w:rsidRDefault="00C2382E" w:rsidP="00C219AF">
      <w:pPr>
        <w:pStyle w:val="ListParagraph"/>
        <w:numPr>
          <w:ilvl w:val="0"/>
          <w:numId w:val="42"/>
        </w:numPr>
        <w:pBdr>
          <w:top w:val="single" w:sz="4" w:space="1" w:color="auto"/>
          <w:left w:val="single" w:sz="4" w:space="4" w:color="auto"/>
          <w:bottom w:val="single" w:sz="4" w:space="1" w:color="auto"/>
          <w:right w:val="single" w:sz="4" w:space="4" w:color="auto"/>
        </w:pBdr>
        <w:spacing w:after="0" w:line="240" w:lineRule="auto"/>
        <w:jc w:val="both"/>
        <w:rPr>
          <w:rFonts w:cs="Arial"/>
          <w:color w:val="212529"/>
          <w:shd w:val="clear" w:color="auto" w:fill="FFFFFF"/>
        </w:rPr>
      </w:pPr>
      <w:r w:rsidRPr="00412994">
        <w:rPr>
          <w:rFonts w:cs="Arial"/>
          <w:color w:val="212529"/>
          <w:shd w:val="clear" w:color="auto" w:fill="FFFFFF"/>
        </w:rPr>
        <w:t>The EAT emphasized that having a policy alone is insufficient; it must be properly implemented, with steps taken to address harassment as soon as it is reported, su</w:t>
      </w:r>
      <w:r w:rsidR="00412994">
        <w:rPr>
          <w:rFonts w:cs="Arial"/>
          <w:color w:val="212529"/>
          <w:shd w:val="clear" w:color="auto" w:fill="FFFFFF"/>
        </w:rPr>
        <w:t>p</w:t>
      </w:r>
      <w:r w:rsidRPr="00412994">
        <w:rPr>
          <w:rFonts w:cs="Arial"/>
          <w:color w:val="212529"/>
          <w:shd w:val="clear" w:color="auto" w:fill="FFFFFF"/>
        </w:rPr>
        <w:t>ported by monitoring and training.</w:t>
      </w:r>
    </w:p>
    <w:p w14:paraId="4A23A7DD" w14:textId="77777777" w:rsidR="000523C6" w:rsidRPr="00412994" w:rsidRDefault="000523C6" w:rsidP="00C219AF">
      <w:pPr>
        <w:spacing w:after="0" w:line="240" w:lineRule="auto"/>
        <w:jc w:val="both"/>
        <w:rPr>
          <w:rFonts w:cs="Arial"/>
          <w:b/>
          <w:bCs/>
          <w:color w:val="000000" w:themeColor="text1"/>
          <w:u w:val="single"/>
        </w:rPr>
      </w:pPr>
    </w:p>
    <w:p w14:paraId="7D52D0B4" w14:textId="15E0424F" w:rsidR="000523C6" w:rsidRPr="00412994" w:rsidRDefault="000523C6" w:rsidP="00C219AF">
      <w:pPr>
        <w:pBdr>
          <w:top w:val="single" w:sz="4" w:space="1" w:color="auto"/>
          <w:left w:val="single" w:sz="4" w:space="1" w:color="auto"/>
          <w:bottom w:val="single" w:sz="4" w:space="1" w:color="auto"/>
          <w:right w:val="single" w:sz="4" w:space="1" w:color="auto"/>
        </w:pBdr>
        <w:spacing w:after="0" w:line="240" w:lineRule="auto"/>
        <w:jc w:val="both"/>
        <w:rPr>
          <w:rFonts w:cs="Arial"/>
          <w:b/>
          <w:bCs/>
          <w:color w:val="000000"/>
          <w:szCs w:val="24"/>
          <w:u w:val="single"/>
          <w:shd w:val="clear" w:color="auto" w:fill="FFFFFF"/>
        </w:rPr>
      </w:pPr>
      <w:r w:rsidRPr="00412994">
        <w:rPr>
          <w:rFonts w:cs="Arial"/>
          <w:b/>
          <w:bCs/>
          <w:color w:val="000000" w:themeColor="text1"/>
          <w:u w:val="single"/>
        </w:rPr>
        <w:t xml:space="preserve">CASE REVIEW: </w:t>
      </w:r>
      <w:r w:rsidRPr="00412994">
        <w:rPr>
          <w:rStyle w:val="Emphasis"/>
          <w:rFonts w:cs="Arial"/>
          <w:b/>
          <w:bCs/>
          <w:color w:val="212529"/>
          <w:u w:val="single"/>
          <w:shd w:val="clear" w:color="auto" w:fill="FFFFFF"/>
        </w:rPr>
        <w:t>Fischer v London United Busways Ltd</w:t>
      </w:r>
      <w:r w:rsidRPr="00412994">
        <w:rPr>
          <w:rFonts w:cs="Arial"/>
          <w:b/>
          <w:bCs/>
          <w:color w:val="212529"/>
          <w:u w:val="single"/>
          <w:shd w:val="clear" w:color="auto" w:fill="FFFFFF"/>
        </w:rPr>
        <w:t> </w:t>
      </w:r>
      <w:r w:rsidRPr="00412994">
        <w:rPr>
          <w:rStyle w:val="Emphasis"/>
          <w:rFonts w:cs="Arial"/>
          <w:b/>
          <w:bCs/>
          <w:color w:val="212529"/>
          <w:u w:val="single"/>
          <w:shd w:val="clear" w:color="auto" w:fill="FFFFFF"/>
        </w:rPr>
        <w:t>ET/2300846/2021</w:t>
      </w:r>
    </w:p>
    <w:p w14:paraId="411D005B" w14:textId="3AD78D95" w:rsidR="00C2382E" w:rsidRPr="00412994" w:rsidRDefault="000523C6" w:rsidP="00C219AF">
      <w:pPr>
        <w:pBdr>
          <w:top w:val="single" w:sz="4" w:space="1" w:color="auto"/>
          <w:left w:val="single" w:sz="4" w:space="1" w:color="auto"/>
          <w:bottom w:val="single" w:sz="4" w:space="1" w:color="auto"/>
          <w:right w:val="single" w:sz="4" w:space="1" w:color="auto"/>
        </w:pBdr>
        <w:spacing w:after="0" w:line="240" w:lineRule="auto"/>
        <w:jc w:val="both"/>
        <w:rPr>
          <w:rFonts w:cs="Arial"/>
          <w:color w:val="212529"/>
          <w:shd w:val="clear" w:color="auto" w:fill="FFFFFF"/>
        </w:rPr>
      </w:pPr>
      <w:r w:rsidRPr="00412994">
        <w:rPr>
          <w:rFonts w:cs="Arial"/>
          <w:color w:val="212529"/>
          <w:shd w:val="clear" w:color="auto" w:fill="FFFFFF"/>
        </w:rPr>
        <w:t xml:space="preserve">Simply having policies in place, a </w:t>
      </w:r>
      <w:proofErr w:type="gramStart"/>
      <w:r w:rsidRPr="00412994">
        <w:rPr>
          <w:rFonts w:cs="Arial"/>
          <w:color w:val="212529"/>
          <w:shd w:val="clear" w:color="auto" w:fill="FFFFFF"/>
        </w:rPr>
        <w:t>zero tolerance</w:t>
      </w:r>
      <w:proofErr w:type="gramEnd"/>
      <w:r w:rsidRPr="00412994">
        <w:rPr>
          <w:rFonts w:cs="Arial"/>
          <w:color w:val="212529"/>
          <w:shd w:val="clear" w:color="auto" w:fill="FFFFFF"/>
        </w:rPr>
        <w:t xml:space="preserve"> attitude to enforcing those policies and a supportive ‘speak up’ culture has been shown to be insufficient to rely on the defence.</w:t>
      </w:r>
    </w:p>
    <w:p w14:paraId="12C39CC7" w14:textId="77777777" w:rsidR="00A91371" w:rsidRPr="00412994" w:rsidRDefault="00A91371" w:rsidP="00C219AF">
      <w:pPr>
        <w:shd w:val="clear" w:color="auto" w:fill="FFFFFF"/>
        <w:spacing w:before="100" w:beforeAutospacing="1" w:after="0" w:line="240" w:lineRule="auto"/>
        <w:jc w:val="both"/>
        <w:rPr>
          <w:rFonts w:cs="Arial"/>
          <w:b/>
          <w:bCs/>
          <w:color w:val="000000" w:themeColor="text1"/>
          <w:u w:val="single"/>
        </w:rPr>
      </w:pPr>
    </w:p>
    <w:p w14:paraId="7ED5349C" w14:textId="42E114A9" w:rsidR="000523C6" w:rsidRPr="00412994" w:rsidRDefault="000523C6" w:rsidP="00C219AF">
      <w:p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b/>
          <w:bCs/>
          <w:color w:val="000000" w:themeColor="text1"/>
          <w:u w:val="single"/>
        </w:rPr>
      </w:pPr>
      <w:r w:rsidRPr="00412994">
        <w:rPr>
          <w:rFonts w:cs="Arial"/>
          <w:b/>
          <w:bCs/>
          <w:color w:val="000000" w:themeColor="text1"/>
          <w:u w:val="single"/>
        </w:rPr>
        <w:t xml:space="preserve">CASE REVIEW: Ms S </w:t>
      </w:r>
      <w:proofErr w:type="spellStart"/>
      <w:r w:rsidRPr="00412994">
        <w:rPr>
          <w:rFonts w:cs="Arial"/>
          <w:b/>
          <w:bCs/>
          <w:color w:val="000000" w:themeColor="text1"/>
          <w:u w:val="single"/>
        </w:rPr>
        <w:t>Tesfagiorgis</w:t>
      </w:r>
      <w:proofErr w:type="spellEnd"/>
      <w:r w:rsidRPr="00412994">
        <w:rPr>
          <w:rFonts w:cs="Arial"/>
          <w:b/>
          <w:bCs/>
          <w:color w:val="000000" w:themeColor="text1"/>
          <w:u w:val="single"/>
        </w:rPr>
        <w:t xml:space="preserve"> v </w:t>
      </w:r>
      <w:proofErr w:type="spellStart"/>
      <w:r w:rsidRPr="00412994">
        <w:rPr>
          <w:rFonts w:cs="Arial"/>
          <w:b/>
          <w:bCs/>
          <w:color w:val="000000" w:themeColor="text1"/>
          <w:u w:val="single"/>
        </w:rPr>
        <w:t>Aspinalls</w:t>
      </w:r>
      <w:proofErr w:type="spellEnd"/>
      <w:r w:rsidRPr="00412994">
        <w:rPr>
          <w:rFonts w:cs="Arial"/>
          <w:b/>
          <w:bCs/>
          <w:color w:val="000000" w:themeColor="text1"/>
          <w:u w:val="single"/>
        </w:rPr>
        <w:t xml:space="preserve"> Club T/a Crown London </w:t>
      </w:r>
      <w:proofErr w:type="spellStart"/>
      <w:r w:rsidRPr="00412994">
        <w:rPr>
          <w:rFonts w:cs="Arial"/>
          <w:b/>
          <w:bCs/>
          <w:color w:val="000000" w:themeColor="text1"/>
          <w:u w:val="single"/>
        </w:rPr>
        <w:t>Aspinalls</w:t>
      </w:r>
      <w:proofErr w:type="spellEnd"/>
      <w:r w:rsidRPr="00412994">
        <w:rPr>
          <w:rFonts w:cs="Arial"/>
          <w:b/>
          <w:bCs/>
          <w:color w:val="000000" w:themeColor="text1"/>
          <w:u w:val="single"/>
        </w:rPr>
        <w:t xml:space="preserve"> and others: 2202256/2020</w:t>
      </w:r>
    </w:p>
    <w:p w14:paraId="5EA0E087" w14:textId="5475853E" w:rsidR="00C2382E" w:rsidRPr="00412994" w:rsidRDefault="00C2382E" w:rsidP="00C219AF">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lastRenderedPageBreak/>
        <w:t xml:space="preserve">The Employment Tribunal ruled that Ms. </w:t>
      </w:r>
      <w:proofErr w:type="spellStart"/>
      <w:r w:rsidRPr="00412994">
        <w:rPr>
          <w:rFonts w:cs="Arial"/>
          <w:color w:val="000000" w:themeColor="text1"/>
        </w:rPr>
        <w:t>Tesfagiorgis</w:t>
      </w:r>
      <w:proofErr w:type="spellEnd"/>
      <w:r w:rsidRPr="00412994">
        <w:rPr>
          <w:rFonts w:cs="Arial"/>
          <w:color w:val="000000" w:themeColor="text1"/>
        </w:rPr>
        <w:t xml:space="preserve"> was subjected to direct race discrimination when her employer accommodated a patron’s request to be served by white staff instead of black staff, failing to properly implement their policy on unacceptable patron behaviour.</w:t>
      </w:r>
    </w:p>
    <w:p w14:paraId="5CD27E06" w14:textId="77777777" w:rsidR="00C2382E" w:rsidRPr="00412994" w:rsidRDefault="00C2382E" w:rsidP="00C219AF">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Ms. </w:t>
      </w:r>
      <w:proofErr w:type="spellStart"/>
      <w:r w:rsidRPr="00412994">
        <w:rPr>
          <w:rFonts w:cs="Arial"/>
          <w:color w:val="000000" w:themeColor="text1"/>
        </w:rPr>
        <w:t>Tesfagiorgis’s</w:t>
      </w:r>
      <w:proofErr w:type="spellEnd"/>
      <w:r w:rsidRPr="00412994">
        <w:rPr>
          <w:rFonts w:cs="Arial"/>
          <w:color w:val="000000" w:themeColor="text1"/>
        </w:rPr>
        <w:t xml:space="preserve"> claims of direct sex discrimination and sexual harassment were dismissed, as the tribunal found that senior managers took the issue seriously and dealt with it supportively and empathetically.</w:t>
      </w:r>
    </w:p>
    <w:p w14:paraId="12398400" w14:textId="45D16B86" w:rsidR="00C2382E" w:rsidRPr="00412994" w:rsidRDefault="00C2382E" w:rsidP="00C219AF">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The tribunal noted that the casino had conducted training on appropriate workplace behaviour, but the training did not adequately address the policy on unacceptable patron behaviour.</w:t>
      </w:r>
    </w:p>
    <w:p w14:paraId="4C504478" w14:textId="2048186D" w:rsidR="00C2382E" w:rsidRPr="00412994" w:rsidRDefault="00C2382E" w:rsidP="00C219AF">
      <w:pPr>
        <w:pStyle w:val="ListParagraph"/>
        <w:numPr>
          <w:ilvl w:val="0"/>
          <w:numId w:val="43"/>
        </w:numPr>
        <w:pBdr>
          <w:top w:val="single" w:sz="4" w:space="1" w:color="auto"/>
          <w:left w:val="single" w:sz="4" w:space="4" w:color="auto"/>
          <w:bottom w:val="single" w:sz="4" w:space="1" w:color="auto"/>
          <w:right w:val="single" w:sz="4" w:space="4" w:color="auto"/>
        </w:pBd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The case highlights the importance of employers not only having policies in place but also ensuring they are effectively </w:t>
      </w:r>
      <w:proofErr w:type="gramStart"/>
      <w:r w:rsidRPr="00412994">
        <w:rPr>
          <w:rFonts w:cs="Arial"/>
          <w:color w:val="000000" w:themeColor="text1"/>
        </w:rPr>
        <w:t>implemented</w:t>
      </w:r>
      <w:proofErr w:type="gramEnd"/>
      <w:r w:rsidRPr="00412994">
        <w:rPr>
          <w:rFonts w:cs="Arial"/>
          <w:color w:val="000000" w:themeColor="text1"/>
        </w:rPr>
        <w:t xml:space="preserve"> and that training is specific and comprehensive.</w:t>
      </w:r>
    </w:p>
    <w:p w14:paraId="393D14E4" w14:textId="77777777" w:rsidR="00412994" w:rsidRDefault="00412994" w:rsidP="00C219AF">
      <w:pPr>
        <w:spacing w:after="0" w:line="240" w:lineRule="auto"/>
        <w:jc w:val="both"/>
      </w:pPr>
    </w:p>
    <w:p w14:paraId="4B0BA02F" w14:textId="08DDC3ED" w:rsidR="006A3375" w:rsidRPr="00C219AF" w:rsidRDefault="006A3375" w:rsidP="00C219AF">
      <w:pPr>
        <w:pStyle w:val="Heading1"/>
        <w:spacing w:line="240" w:lineRule="auto"/>
        <w:jc w:val="both"/>
        <w:rPr>
          <w:b/>
          <w:bCs/>
        </w:rPr>
      </w:pPr>
      <w:bookmarkStart w:id="18" w:name="_Toc181889866"/>
      <w:r w:rsidRPr="00C219AF">
        <w:rPr>
          <w:b/>
          <w:bCs/>
        </w:rPr>
        <w:t>School Action</w:t>
      </w:r>
      <w:r w:rsidR="000D27B1" w:rsidRPr="00C219AF">
        <w:rPr>
          <w:b/>
          <w:bCs/>
        </w:rPr>
        <w:t>s</w:t>
      </w:r>
      <w:bookmarkEnd w:id="18"/>
    </w:p>
    <w:p w14:paraId="2D454140" w14:textId="77777777" w:rsidR="006A3375" w:rsidRPr="00412994" w:rsidRDefault="006A3375" w:rsidP="00C219AF">
      <w:pPr>
        <w:spacing w:after="0" w:line="240" w:lineRule="auto"/>
        <w:jc w:val="both"/>
        <w:rPr>
          <w:rFonts w:cs="Arial"/>
        </w:rPr>
      </w:pPr>
    </w:p>
    <w:p w14:paraId="66C0DC76" w14:textId="2681B4F6" w:rsidR="009212D2" w:rsidRPr="00412994" w:rsidRDefault="009212D2" w:rsidP="00173D09">
      <w:pPr>
        <w:pStyle w:val="Heading2"/>
        <w:ind w:left="709" w:hanging="709"/>
      </w:pPr>
      <w:bookmarkStart w:id="19" w:name="_Toc181889867"/>
      <w:r w:rsidRPr="00412994">
        <w:t>Policies, training and culture</w:t>
      </w:r>
      <w:bookmarkEnd w:id="19"/>
    </w:p>
    <w:p w14:paraId="6BB25FAF" w14:textId="77777777" w:rsidR="00C219AF" w:rsidRDefault="00C219AF" w:rsidP="00C219AF">
      <w:pPr>
        <w:spacing w:after="0" w:line="240" w:lineRule="auto"/>
        <w:jc w:val="both"/>
        <w:rPr>
          <w:rFonts w:cs="Arial"/>
        </w:rPr>
      </w:pPr>
    </w:p>
    <w:p w14:paraId="5F18F7F8" w14:textId="02394FAD" w:rsidR="00F43943" w:rsidRPr="00412994" w:rsidRDefault="00F43943" w:rsidP="00C219AF">
      <w:pPr>
        <w:spacing w:after="0" w:line="240" w:lineRule="auto"/>
        <w:jc w:val="both"/>
        <w:rPr>
          <w:rFonts w:cs="Arial"/>
        </w:rPr>
      </w:pPr>
      <w:r w:rsidRPr="00412994">
        <w:rPr>
          <w:rFonts w:cs="Arial"/>
        </w:rPr>
        <w:t>Governing Boards should review their policies annually and be able to demonstrate the following:</w:t>
      </w:r>
    </w:p>
    <w:p w14:paraId="5BEDCBF8"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They have a comprehensive written equal opportunities policy, with relevant training provided to staff.</w:t>
      </w:r>
    </w:p>
    <w:p w14:paraId="4CB6D1FE"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 xml:space="preserve">All staff training is reviewed at least annually to ensure it is current and </w:t>
      </w:r>
      <w:proofErr w:type="gramStart"/>
      <w:r w:rsidRPr="00412994">
        <w:rPr>
          <w:rFonts w:cs="Arial"/>
        </w:rPr>
        <w:t>up-to-date</w:t>
      </w:r>
      <w:proofErr w:type="gramEnd"/>
      <w:r w:rsidRPr="00412994">
        <w:rPr>
          <w:rFonts w:cs="Arial"/>
        </w:rPr>
        <w:t>.</w:t>
      </w:r>
    </w:p>
    <w:p w14:paraId="1CA2E281"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Training is tailored to the specific needs of their school setting and is not merely a generic or online tick-box exercise.</w:t>
      </w:r>
    </w:p>
    <w:p w14:paraId="2FD8318D"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An evaluation of the training has been conducted to ensure staff understand their obligations.</w:t>
      </w:r>
    </w:p>
    <w:p w14:paraId="13F1BB07"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They do not rely solely on online or generic training sessions, ensuring the training is meaningful and effective.</w:t>
      </w:r>
    </w:p>
    <w:p w14:paraId="3BA0B5FD"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Appropriate action, including disciplinary measures, is taken in response to any incidents of discrimination.</w:t>
      </w:r>
    </w:p>
    <w:p w14:paraId="1F727877" w14:textId="77777777" w:rsidR="00F43943" w:rsidRPr="00412994" w:rsidRDefault="00F43943" w:rsidP="00C219AF">
      <w:pPr>
        <w:pStyle w:val="ListParagraph"/>
        <w:numPr>
          <w:ilvl w:val="0"/>
          <w:numId w:val="44"/>
        </w:numPr>
        <w:spacing w:after="0" w:line="240" w:lineRule="auto"/>
        <w:jc w:val="both"/>
        <w:rPr>
          <w:rFonts w:cs="Arial"/>
        </w:rPr>
      </w:pPr>
      <w:r w:rsidRPr="00412994">
        <w:rPr>
          <w:rFonts w:cs="Arial"/>
        </w:rPr>
        <w:t>After an incident, they review the actions taken to assess their effectiveness in practice.</w:t>
      </w:r>
    </w:p>
    <w:p w14:paraId="7E477163" w14:textId="2BA1AA37" w:rsidR="006A3375" w:rsidRPr="00412994" w:rsidRDefault="00F43943" w:rsidP="00C219AF">
      <w:pPr>
        <w:pStyle w:val="ListParagraph"/>
        <w:numPr>
          <w:ilvl w:val="0"/>
          <w:numId w:val="44"/>
        </w:numPr>
        <w:spacing w:after="0" w:line="240" w:lineRule="auto"/>
        <w:jc w:val="both"/>
        <w:rPr>
          <w:rFonts w:cs="Arial"/>
        </w:rPr>
      </w:pPr>
      <w:r w:rsidRPr="00412994">
        <w:rPr>
          <w:rFonts w:cs="Arial"/>
        </w:rPr>
        <w:t>Training is reviewed and updated as necessary following an incident, with the impact of the updated training evaluated.</w:t>
      </w:r>
    </w:p>
    <w:p w14:paraId="69AB9701" w14:textId="77777777" w:rsidR="00C219AF" w:rsidRDefault="00C219AF" w:rsidP="00173D09">
      <w:pPr>
        <w:pStyle w:val="Heading2"/>
        <w:numPr>
          <w:ilvl w:val="0"/>
          <w:numId w:val="0"/>
        </w:numPr>
        <w:ind w:left="720"/>
      </w:pPr>
    </w:p>
    <w:p w14:paraId="7F332553" w14:textId="350DB37D" w:rsidR="006A3375" w:rsidRPr="00173D09" w:rsidRDefault="006A3375" w:rsidP="00173D09">
      <w:pPr>
        <w:pStyle w:val="Heading1"/>
        <w:rPr>
          <w:b/>
          <w:bCs/>
        </w:rPr>
      </w:pPr>
      <w:bookmarkStart w:id="20" w:name="_Toc181889868"/>
      <w:r w:rsidRPr="00173D09">
        <w:rPr>
          <w:b/>
          <w:bCs/>
        </w:rPr>
        <w:t>Complaints</w:t>
      </w:r>
      <w:bookmarkEnd w:id="20"/>
    </w:p>
    <w:p w14:paraId="2C6C86C7" w14:textId="77777777" w:rsidR="00C219AF" w:rsidRDefault="00C219AF" w:rsidP="00C219AF">
      <w:pPr>
        <w:spacing w:after="0" w:line="240" w:lineRule="auto"/>
        <w:jc w:val="both"/>
        <w:rPr>
          <w:rFonts w:cs="Arial"/>
        </w:rPr>
      </w:pPr>
    </w:p>
    <w:p w14:paraId="2E41D342" w14:textId="76CCDDF9" w:rsidR="00F43943" w:rsidRPr="00412994" w:rsidRDefault="00F43943" w:rsidP="00C219AF">
      <w:pPr>
        <w:spacing w:after="0" w:line="240" w:lineRule="auto"/>
        <w:jc w:val="both"/>
        <w:rPr>
          <w:rFonts w:cs="Arial"/>
        </w:rPr>
      </w:pPr>
      <w:r w:rsidRPr="00412994">
        <w:rPr>
          <w:rFonts w:cs="Arial"/>
        </w:rPr>
        <w:t>A clear and effective complaints procedure is crucial for maintaining a respectful and safe workplace. This guide outlines the steps employees can take to report incidents of bullying and harassment, ensuring their concerns are addressed promptly and fairly. It details the process for making complaints, how employers will handle these complaints, and the training and policies in place to support staff. Additionally, it emphasizes the importance of understanding the consequences for those found to have committed acts of harassment.</w:t>
      </w:r>
    </w:p>
    <w:p w14:paraId="491CBE82" w14:textId="2D03A08E" w:rsidR="006A3375" w:rsidRPr="00412994" w:rsidRDefault="006A3375"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lastRenderedPageBreak/>
        <w:t>How do you define bullying and harassment? Where is it found?</w:t>
      </w:r>
    </w:p>
    <w:p w14:paraId="6EC54C01" w14:textId="748E4787" w:rsidR="006A3375" w:rsidRPr="00412994" w:rsidRDefault="006A3375"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How can staff make complaints? </w:t>
      </w:r>
    </w:p>
    <w:p w14:paraId="2201A6D8" w14:textId="1D3D393C" w:rsidR="006A3375" w:rsidRPr="00412994" w:rsidRDefault="006A3375"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How will employers address complaints?</w:t>
      </w:r>
    </w:p>
    <w:p w14:paraId="346A7646" w14:textId="5ABE4D95" w:rsidR="006A3375" w:rsidRPr="00412994" w:rsidRDefault="006A3375"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 xml:space="preserve">Training and policies – how will you document staff have had access to these? </w:t>
      </w:r>
    </w:p>
    <w:p w14:paraId="2B622318" w14:textId="57B44D70" w:rsidR="009212D2" w:rsidRDefault="006A3375" w:rsidP="00C219AF">
      <w:pPr>
        <w:numPr>
          <w:ilvl w:val="0"/>
          <w:numId w:val="9"/>
        </w:numPr>
        <w:shd w:val="clear" w:color="auto" w:fill="FFFFFF"/>
        <w:spacing w:before="100" w:beforeAutospacing="1" w:after="0" w:line="240" w:lineRule="auto"/>
        <w:jc w:val="both"/>
        <w:rPr>
          <w:rFonts w:cs="Arial"/>
          <w:color w:val="000000" w:themeColor="text1"/>
        </w:rPr>
      </w:pPr>
      <w:r w:rsidRPr="00412994">
        <w:rPr>
          <w:rFonts w:cs="Arial"/>
          <w:color w:val="000000" w:themeColor="text1"/>
        </w:rPr>
        <w:t>Are staff clear about the sanctions if they are found to have committed an act of harassment?</w:t>
      </w:r>
    </w:p>
    <w:p w14:paraId="43FFFB75" w14:textId="77777777" w:rsidR="00173D09" w:rsidRDefault="00173D09" w:rsidP="00173D09">
      <w:pPr>
        <w:shd w:val="clear" w:color="auto" w:fill="FFFFFF"/>
        <w:spacing w:before="100" w:beforeAutospacing="1" w:after="0" w:line="240" w:lineRule="auto"/>
        <w:ind w:left="360"/>
        <w:jc w:val="both"/>
        <w:rPr>
          <w:rFonts w:cs="Arial"/>
          <w:color w:val="000000" w:themeColor="text1"/>
        </w:rPr>
      </w:pPr>
    </w:p>
    <w:p w14:paraId="4796BC35" w14:textId="5A934D68" w:rsidR="009212D2" w:rsidRPr="00C219AF" w:rsidRDefault="009212D2" w:rsidP="00C219AF">
      <w:pPr>
        <w:pStyle w:val="Heading1"/>
        <w:spacing w:line="240" w:lineRule="auto"/>
        <w:jc w:val="both"/>
        <w:rPr>
          <w:b/>
          <w:bCs/>
        </w:rPr>
      </w:pPr>
      <w:bookmarkStart w:id="21" w:name="_Toc181889869"/>
      <w:r w:rsidRPr="00C219AF">
        <w:rPr>
          <w:b/>
          <w:bCs/>
        </w:rPr>
        <w:t>Useful links</w:t>
      </w:r>
      <w:bookmarkEnd w:id="21"/>
    </w:p>
    <w:p w14:paraId="048A7DFC" w14:textId="77777777" w:rsidR="004F2D57" w:rsidRPr="00C219AF" w:rsidRDefault="004F2D57" w:rsidP="00C219AF">
      <w:pPr>
        <w:spacing w:after="0" w:line="240" w:lineRule="auto"/>
        <w:jc w:val="both"/>
        <w:rPr>
          <w:rFonts w:cs="Arial"/>
          <w:b/>
          <w:bCs/>
        </w:rPr>
      </w:pPr>
    </w:p>
    <w:p w14:paraId="395D69E5" w14:textId="7CA3D532" w:rsidR="004F2D57" w:rsidRDefault="004F2D57" w:rsidP="00173D09">
      <w:pPr>
        <w:pStyle w:val="Heading2"/>
        <w:ind w:left="709" w:hanging="709"/>
      </w:pPr>
      <w:bookmarkStart w:id="22" w:name="_Toc181889870"/>
      <w:r w:rsidRPr="00412994">
        <w:t>Resources and support</w:t>
      </w:r>
      <w:bookmarkEnd w:id="22"/>
    </w:p>
    <w:p w14:paraId="66122236" w14:textId="77777777" w:rsidR="00546491" w:rsidRPr="00546491" w:rsidRDefault="00546491" w:rsidP="00546491"/>
    <w:tbl>
      <w:tblPr>
        <w:tblStyle w:val="TableGrid"/>
        <w:tblW w:w="0" w:type="auto"/>
        <w:tblLook w:val="04A0" w:firstRow="1" w:lastRow="0" w:firstColumn="1" w:lastColumn="0" w:noHBand="0" w:noVBand="1"/>
      </w:tblPr>
      <w:tblGrid>
        <w:gridCol w:w="3081"/>
        <w:gridCol w:w="5935"/>
      </w:tblGrid>
      <w:tr w:rsidR="004F2D57" w:rsidRPr="00412994" w14:paraId="76EA3A7B" w14:textId="77777777" w:rsidTr="00500F61">
        <w:tc>
          <w:tcPr>
            <w:tcW w:w="3154" w:type="dxa"/>
          </w:tcPr>
          <w:p w14:paraId="52B1B8D1" w14:textId="77777777" w:rsidR="004F2D57" w:rsidRPr="00412994" w:rsidRDefault="004F2D57" w:rsidP="00C219AF">
            <w:pPr>
              <w:jc w:val="both"/>
              <w:rPr>
                <w:rFonts w:cs="Arial"/>
                <w:b/>
                <w:bCs/>
              </w:rPr>
            </w:pPr>
            <w:r w:rsidRPr="00412994">
              <w:rPr>
                <w:rFonts w:cs="Arial"/>
                <w:b/>
                <w:bCs/>
              </w:rPr>
              <w:t>Resource</w:t>
            </w:r>
          </w:p>
        </w:tc>
        <w:tc>
          <w:tcPr>
            <w:tcW w:w="5862" w:type="dxa"/>
          </w:tcPr>
          <w:p w14:paraId="070C1E12" w14:textId="77777777" w:rsidR="004F2D57" w:rsidRPr="00412994" w:rsidRDefault="004F2D57" w:rsidP="00C219AF">
            <w:pPr>
              <w:jc w:val="both"/>
              <w:rPr>
                <w:rFonts w:cs="Arial"/>
                <w:b/>
                <w:bCs/>
              </w:rPr>
            </w:pPr>
            <w:r w:rsidRPr="00412994">
              <w:rPr>
                <w:rFonts w:cs="Arial"/>
                <w:b/>
                <w:bCs/>
              </w:rPr>
              <w:t>Link</w:t>
            </w:r>
          </w:p>
        </w:tc>
      </w:tr>
      <w:tr w:rsidR="00412994" w:rsidRPr="00412994" w14:paraId="4DAD1D9E" w14:textId="77777777" w:rsidTr="00412994">
        <w:trPr>
          <w:trHeight w:val="510"/>
        </w:trPr>
        <w:tc>
          <w:tcPr>
            <w:tcW w:w="3154" w:type="dxa"/>
          </w:tcPr>
          <w:p w14:paraId="2C88659A" w14:textId="180A7C58" w:rsidR="004F2D57" w:rsidRPr="00412994" w:rsidRDefault="004F2D57" w:rsidP="00C219AF">
            <w:pPr>
              <w:jc w:val="both"/>
              <w:rPr>
                <w:rFonts w:cs="Arial"/>
                <w:szCs w:val="24"/>
              </w:rPr>
            </w:pPr>
            <w:r w:rsidRPr="00412994">
              <w:rPr>
                <w:rFonts w:eastAsiaTheme="minorEastAsia" w:cs="Arial"/>
                <w:kern w:val="24"/>
                <w:szCs w:val="24"/>
                <w:lang w:val="en-US"/>
              </w:rPr>
              <w:t xml:space="preserve">Employee Assistance </w:t>
            </w:r>
            <w:proofErr w:type="spellStart"/>
            <w:r w:rsidRPr="00412994">
              <w:rPr>
                <w:rFonts w:eastAsiaTheme="minorEastAsia" w:cs="Arial"/>
                <w:kern w:val="24"/>
                <w:szCs w:val="24"/>
                <w:lang w:val="en-US"/>
              </w:rPr>
              <w:t>Programme</w:t>
            </w:r>
            <w:proofErr w:type="spellEnd"/>
            <w:r w:rsidRPr="00412994">
              <w:rPr>
                <w:rFonts w:eastAsiaTheme="minorEastAsia" w:cs="Arial"/>
                <w:kern w:val="24"/>
                <w:szCs w:val="24"/>
                <w:lang w:val="en-US"/>
              </w:rPr>
              <w:t xml:space="preserve"> (EAP) </w:t>
            </w:r>
          </w:p>
        </w:tc>
        <w:tc>
          <w:tcPr>
            <w:tcW w:w="5862" w:type="dxa"/>
          </w:tcPr>
          <w:p w14:paraId="07AE883C" w14:textId="255D8BFD" w:rsidR="004F2D57" w:rsidRPr="00412994" w:rsidRDefault="00500F61" w:rsidP="00C219AF">
            <w:pPr>
              <w:jc w:val="both"/>
              <w:rPr>
                <w:rFonts w:cs="Arial"/>
                <w:szCs w:val="24"/>
              </w:rPr>
            </w:pPr>
            <w:r w:rsidRPr="00412994">
              <w:rPr>
                <w:rFonts w:eastAsiaTheme="minorEastAsia" w:cs="Arial"/>
                <w:kern w:val="24"/>
                <w:szCs w:val="24"/>
                <w:lang w:val="en-US"/>
              </w:rPr>
              <w:t>School will have their own EAP provider.</w:t>
            </w:r>
          </w:p>
        </w:tc>
      </w:tr>
      <w:tr w:rsidR="00412994" w:rsidRPr="00412994" w14:paraId="0C01E640" w14:textId="77777777" w:rsidTr="00412994">
        <w:trPr>
          <w:trHeight w:val="510"/>
        </w:trPr>
        <w:tc>
          <w:tcPr>
            <w:tcW w:w="3154" w:type="dxa"/>
          </w:tcPr>
          <w:p w14:paraId="5394107E" w14:textId="10D03783" w:rsidR="004F2D57" w:rsidRPr="00412994" w:rsidRDefault="004F2D57" w:rsidP="00C219AF">
            <w:pPr>
              <w:jc w:val="both"/>
              <w:rPr>
                <w:rFonts w:cs="Arial"/>
                <w:szCs w:val="24"/>
              </w:rPr>
            </w:pPr>
            <w:r w:rsidRPr="00412994">
              <w:rPr>
                <w:rFonts w:eastAsiaTheme="minorEastAsia" w:cs="Arial"/>
                <w:kern w:val="24"/>
                <w:szCs w:val="24"/>
                <w:lang w:val="en-US"/>
              </w:rPr>
              <w:t xml:space="preserve">Occupational health referral </w:t>
            </w:r>
          </w:p>
        </w:tc>
        <w:tc>
          <w:tcPr>
            <w:tcW w:w="5862" w:type="dxa"/>
          </w:tcPr>
          <w:p w14:paraId="724995BA" w14:textId="6564F63E" w:rsidR="004F2D57" w:rsidRPr="00412994" w:rsidRDefault="00500F61" w:rsidP="00C219AF">
            <w:pPr>
              <w:jc w:val="both"/>
              <w:rPr>
                <w:rFonts w:cs="Arial"/>
                <w:szCs w:val="24"/>
              </w:rPr>
            </w:pPr>
            <w:r w:rsidRPr="00412994">
              <w:rPr>
                <w:rFonts w:eastAsiaTheme="minorEastAsia" w:cs="Arial"/>
                <w:kern w:val="24"/>
                <w:szCs w:val="24"/>
                <w:lang w:val="en-US"/>
              </w:rPr>
              <w:t>School will have their own OH referral process.</w:t>
            </w:r>
          </w:p>
        </w:tc>
      </w:tr>
      <w:tr w:rsidR="00412994" w:rsidRPr="00412994" w14:paraId="4951C15C" w14:textId="77777777" w:rsidTr="00412994">
        <w:trPr>
          <w:trHeight w:val="510"/>
        </w:trPr>
        <w:tc>
          <w:tcPr>
            <w:tcW w:w="3154" w:type="dxa"/>
          </w:tcPr>
          <w:p w14:paraId="0D5FE446" w14:textId="65B89BF2" w:rsidR="00412994" w:rsidRPr="00412994" w:rsidRDefault="00412994" w:rsidP="00C219AF">
            <w:pPr>
              <w:jc w:val="both"/>
              <w:rPr>
                <w:rFonts w:eastAsiaTheme="minorEastAsia" w:cs="Arial"/>
                <w:kern w:val="24"/>
                <w:szCs w:val="24"/>
                <w:lang w:val="en-US"/>
              </w:rPr>
            </w:pPr>
            <w:r>
              <w:rPr>
                <w:rFonts w:eastAsiaTheme="minorEastAsia" w:cs="Arial"/>
                <w:kern w:val="24"/>
                <w:szCs w:val="24"/>
                <w:lang w:val="en-US"/>
              </w:rPr>
              <w:t>Schools’ HR Sexual Harassment Resources</w:t>
            </w:r>
          </w:p>
        </w:tc>
        <w:tc>
          <w:tcPr>
            <w:tcW w:w="5862" w:type="dxa"/>
          </w:tcPr>
          <w:p w14:paraId="32C4F758" w14:textId="6B02037D" w:rsidR="00412994" w:rsidRPr="00412994" w:rsidRDefault="00546491" w:rsidP="00C219AF">
            <w:pPr>
              <w:jc w:val="both"/>
              <w:rPr>
                <w:rFonts w:eastAsiaTheme="minorEastAsia" w:cs="Arial"/>
                <w:kern w:val="24"/>
                <w:szCs w:val="24"/>
                <w:lang w:val="en-US"/>
              </w:rPr>
            </w:pPr>
            <w:hyperlink r:id="rId12" w:history="1">
              <w:r w:rsidR="00412994" w:rsidRPr="00F529C4">
                <w:rPr>
                  <w:rStyle w:val="Hyperlink"/>
                  <w:rFonts w:eastAsiaTheme="minorEastAsia" w:cs="Arial"/>
                  <w:kern w:val="24"/>
                  <w:szCs w:val="24"/>
                  <w:lang w:val="en-US"/>
                </w:rPr>
                <w:t>https://education.southwark.gov.uk/schoolshr/policies-and-procedures</w:t>
              </w:r>
            </w:hyperlink>
          </w:p>
        </w:tc>
      </w:tr>
      <w:tr w:rsidR="00412994" w:rsidRPr="00412994" w14:paraId="3F818ED1" w14:textId="77777777" w:rsidTr="00412994">
        <w:trPr>
          <w:trHeight w:val="510"/>
        </w:trPr>
        <w:tc>
          <w:tcPr>
            <w:tcW w:w="3154" w:type="dxa"/>
          </w:tcPr>
          <w:p w14:paraId="37981603" w14:textId="681FE173" w:rsidR="00412994" w:rsidRDefault="00412994" w:rsidP="00C219AF">
            <w:pPr>
              <w:jc w:val="both"/>
              <w:rPr>
                <w:rFonts w:eastAsiaTheme="minorEastAsia" w:cs="Arial"/>
                <w:kern w:val="24"/>
                <w:szCs w:val="24"/>
                <w:lang w:val="en-US"/>
              </w:rPr>
            </w:pPr>
            <w:r>
              <w:rPr>
                <w:rFonts w:eastAsiaTheme="minorEastAsia" w:cs="Arial"/>
                <w:kern w:val="24"/>
                <w:szCs w:val="24"/>
                <w:lang w:val="en-US"/>
              </w:rPr>
              <w:t>Schools’ HR</w:t>
            </w:r>
            <w:r w:rsidR="000C1FAC">
              <w:rPr>
                <w:rFonts w:eastAsiaTheme="minorEastAsia" w:cs="Arial"/>
                <w:kern w:val="24"/>
                <w:szCs w:val="24"/>
                <w:lang w:val="en-US"/>
              </w:rPr>
              <w:t xml:space="preserve"> -</w:t>
            </w:r>
            <w:r>
              <w:rPr>
                <w:rFonts w:eastAsiaTheme="minorEastAsia" w:cs="Arial"/>
                <w:kern w:val="24"/>
                <w:szCs w:val="24"/>
                <w:lang w:val="en-US"/>
              </w:rPr>
              <w:t xml:space="preserve"> </w:t>
            </w:r>
            <w:r w:rsidR="000C1FAC" w:rsidRPr="000C1FAC">
              <w:rPr>
                <w:rFonts w:eastAsiaTheme="minorEastAsia" w:cs="Arial"/>
                <w:kern w:val="24"/>
                <w:szCs w:val="24"/>
                <w:lang w:val="en-US"/>
              </w:rPr>
              <w:t xml:space="preserve">Online Sexual Harassment Disclosure </w:t>
            </w:r>
            <w:r w:rsidR="000C1FAC">
              <w:rPr>
                <w:rFonts w:eastAsiaTheme="minorEastAsia" w:cs="Arial"/>
                <w:kern w:val="24"/>
                <w:szCs w:val="24"/>
                <w:lang w:val="en-US"/>
              </w:rPr>
              <w:t>Form</w:t>
            </w:r>
          </w:p>
        </w:tc>
        <w:tc>
          <w:tcPr>
            <w:tcW w:w="5862" w:type="dxa"/>
          </w:tcPr>
          <w:p w14:paraId="58B80A17" w14:textId="7D060DB6" w:rsidR="00412994" w:rsidRDefault="00546491" w:rsidP="00C219AF">
            <w:pPr>
              <w:jc w:val="both"/>
              <w:rPr>
                <w:rFonts w:eastAsiaTheme="minorEastAsia" w:cs="Arial"/>
                <w:kern w:val="24"/>
                <w:szCs w:val="24"/>
                <w:lang w:val="en-US"/>
              </w:rPr>
            </w:pPr>
            <w:hyperlink r:id="rId13" w:history="1">
              <w:r w:rsidR="000C1FAC" w:rsidRPr="00F529C4">
                <w:rPr>
                  <w:rStyle w:val="Hyperlink"/>
                  <w:rFonts w:eastAsiaTheme="minorEastAsia" w:cs="Arial"/>
                  <w:kern w:val="24"/>
                  <w:szCs w:val="24"/>
                  <w:lang w:val="en-US"/>
                </w:rPr>
                <w:t>https://forms.gle/uS5cWzubhHTb19ew9</w:t>
              </w:r>
            </w:hyperlink>
          </w:p>
          <w:p w14:paraId="60914143" w14:textId="6C0AFD0D" w:rsidR="000C1FAC" w:rsidRDefault="000C1FAC" w:rsidP="00C219AF">
            <w:pPr>
              <w:jc w:val="both"/>
              <w:rPr>
                <w:rFonts w:eastAsiaTheme="minorEastAsia" w:cs="Arial"/>
                <w:kern w:val="24"/>
                <w:szCs w:val="24"/>
                <w:lang w:val="en-US"/>
              </w:rPr>
            </w:pPr>
          </w:p>
        </w:tc>
      </w:tr>
      <w:tr w:rsidR="00412994" w:rsidRPr="00412994" w14:paraId="6CC37194" w14:textId="77777777" w:rsidTr="00412994">
        <w:trPr>
          <w:trHeight w:val="510"/>
        </w:trPr>
        <w:tc>
          <w:tcPr>
            <w:tcW w:w="3154" w:type="dxa"/>
          </w:tcPr>
          <w:p w14:paraId="3FEAEB75" w14:textId="0B7B94BC" w:rsidR="004F2D57" w:rsidRPr="00412994" w:rsidRDefault="004F2D57" w:rsidP="00C219AF">
            <w:pPr>
              <w:jc w:val="both"/>
              <w:rPr>
                <w:rFonts w:cs="Arial"/>
                <w:szCs w:val="24"/>
              </w:rPr>
            </w:pPr>
            <w:proofErr w:type="spellStart"/>
            <w:proofErr w:type="gramStart"/>
            <w:r w:rsidRPr="00412994">
              <w:rPr>
                <w:rFonts w:eastAsiaTheme="minorEastAsia" w:cs="Arial"/>
                <w:kern w:val="24"/>
                <w:szCs w:val="24"/>
              </w:rPr>
              <w:t>Acas</w:t>
            </w:r>
            <w:proofErr w:type="spellEnd"/>
            <w:proofErr w:type="gramEnd"/>
            <w:r w:rsidRPr="00412994">
              <w:rPr>
                <w:rFonts w:eastAsiaTheme="minorEastAsia" w:cs="Arial"/>
                <w:kern w:val="24"/>
                <w:szCs w:val="24"/>
              </w:rPr>
              <w:t xml:space="preserve"> helpline </w:t>
            </w:r>
          </w:p>
        </w:tc>
        <w:tc>
          <w:tcPr>
            <w:tcW w:w="5862" w:type="dxa"/>
          </w:tcPr>
          <w:p w14:paraId="3257C8E9" w14:textId="35A1E320" w:rsidR="00412994" w:rsidRPr="00412994" w:rsidRDefault="00546491" w:rsidP="00C219AF">
            <w:pPr>
              <w:jc w:val="both"/>
              <w:rPr>
                <w:rFonts w:eastAsiaTheme="minorEastAsia" w:cs="Arial"/>
                <w:kern w:val="24"/>
                <w:szCs w:val="24"/>
              </w:rPr>
            </w:pPr>
            <w:hyperlink r:id="rId14" w:history="1">
              <w:r w:rsidR="004F2D57" w:rsidRPr="00412994">
                <w:rPr>
                  <w:rStyle w:val="Hyperlink"/>
                  <w:rFonts w:eastAsiaTheme="minorEastAsia" w:cs="Arial"/>
                  <w:kern w:val="24"/>
                  <w:szCs w:val="24"/>
                  <w:lang w:val="en-US"/>
                </w:rPr>
                <w:t>https://www.acas.org.uk/</w:t>
              </w:r>
            </w:hyperlink>
            <w:hyperlink r:id="rId15" w:history="1">
              <w:r w:rsidR="004F2D57" w:rsidRPr="00412994">
                <w:rPr>
                  <w:rStyle w:val="Hyperlink"/>
                  <w:rFonts w:eastAsiaTheme="minorEastAsia" w:cs="Arial"/>
                  <w:kern w:val="24"/>
                  <w:szCs w:val="24"/>
                  <w:lang w:val="en-US"/>
                </w:rPr>
                <w:t>contact</w:t>
              </w:r>
            </w:hyperlink>
          </w:p>
        </w:tc>
      </w:tr>
      <w:tr w:rsidR="00412994" w:rsidRPr="00412994" w14:paraId="3D3E478D" w14:textId="77777777" w:rsidTr="00412994">
        <w:trPr>
          <w:trHeight w:val="510"/>
        </w:trPr>
        <w:tc>
          <w:tcPr>
            <w:tcW w:w="3154" w:type="dxa"/>
            <w:vMerge w:val="restart"/>
          </w:tcPr>
          <w:p w14:paraId="20E919ED" w14:textId="0D23C756" w:rsidR="00500F61" w:rsidRPr="00412994" w:rsidRDefault="00500F61" w:rsidP="00C219AF">
            <w:pPr>
              <w:jc w:val="both"/>
              <w:rPr>
                <w:rFonts w:cs="Arial"/>
                <w:szCs w:val="24"/>
              </w:rPr>
            </w:pPr>
            <w:r w:rsidRPr="00412994">
              <w:rPr>
                <w:rFonts w:eastAsiaTheme="minorEastAsia" w:cs="Arial"/>
                <w:kern w:val="24"/>
                <w:szCs w:val="24"/>
              </w:rPr>
              <w:t xml:space="preserve">Trade Unions </w:t>
            </w:r>
          </w:p>
        </w:tc>
        <w:tc>
          <w:tcPr>
            <w:tcW w:w="5862" w:type="dxa"/>
          </w:tcPr>
          <w:p w14:paraId="299466F3" w14:textId="561BBF57" w:rsidR="00500F61" w:rsidRPr="00412994" w:rsidRDefault="00500F61" w:rsidP="00C219AF">
            <w:pPr>
              <w:jc w:val="both"/>
              <w:rPr>
                <w:rFonts w:cs="Arial"/>
                <w:szCs w:val="24"/>
              </w:rPr>
            </w:pPr>
            <w:r w:rsidRPr="00412994">
              <w:rPr>
                <w:rFonts w:eastAsiaTheme="minorEastAsia" w:cs="Arial"/>
                <w:kern w:val="24"/>
                <w:szCs w:val="24"/>
              </w:rPr>
              <w:t>GMB (</w:t>
            </w:r>
            <w:hyperlink r:id="rId16" w:history="1">
              <w:r w:rsidRPr="00412994">
                <w:rPr>
                  <w:rStyle w:val="Hyperlink"/>
                  <w:rFonts w:eastAsiaTheme="minorEastAsia" w:cs="Arial"/>
                  <w:kern w:val="24"/>
                  <w:szCs w:val="24"/>
                  <w:lang w:val="en-US"/>
                </w:rPr>
                <w:t>https://www.gmb.org.uk/</w:t>
              </w:r>
            </w:hyperlink>
            <w:hyperlink r:id="rId17" w:history="1">
              <w:r w:rsidRPr="00412994">
                <w:rPr>
                  <w:rStyle w:val="Hyperlink"/>
                  <w:rFonts w:eastAsiaTheme="minorEastAsia" w:cs="Arial"/>
                  <w:kern w:val="24"/>
                  <w:szCs w:val="24"/>
                  <w:lang w:val="en-US"/>
                </w:rPr>
                <w:t>gmb-regions</w:t>
              </w:r>
            </w:hyperlink>
            <w:r w:rsidRPr="00412994">
              <w:rPr>
                <w:rFonts w:eastAsiaTheme="minorEastAsia" w:cs="Arial"/>
                <w:kern w:val="24"/>
                <w:szCs w:val="24"/>
              </w:rPr>
              <w:t>)</w:t>
            </w:r>
          </w:p>
        </w:tc>
      </w:tr>
      <w:tr w:rsidR="00412994" w:rsidRPr="00412994" w14:paraId="7E3E1998" w14:textId="77777777" w:rsidTr="00412994">
        <w:trPr>
          <w:trHeight w:val="510"/>
        </w:trPr>
        <w:tc>
          <w:tcPr>
            <w:tcW w:w="3154" w:type="dxa"/>
            <w:vMerge/>
          </w:tcPr>
          <w:p w14:paraId="194BCCCF" w14:textId="45209C70" w:rsidR="00500F61" w:rsidRPr="00412994" w:rsidRDefault="00500F61" w:rsidP="00C219AF">
            <w:pPr>
              <w:jc w:val="both"/>
              <w:rPr>
                <w:rFonts w:cs="Arial"/>
                <w:szCs w:val="24"/>
              </w:rPr>
            </w:pPr>
          </w:p>
        </w:tc>
        <w:tc>
          <w:tcPr>
            <w:tcW w:w="5862" w:type="dxa"/>
          </w:tcPr>
          <w:p w14:paraId="0BFCD9D9" w14:textId="018856DC" w:rsidR="00500F61" w:rsidRPr="00412994" w:rsidRDefault="00500F61" w:rsidP="00C219AF">
            <w:pPr>
              <w:jc w:val="both"/>
              <w:rPr>
                <w:rFonts w:cs="Arial"/>
                <w:szCs w:val="24"/>
              </w:rPr>
            </w:pPr>
            <w:r w:rsidRPr="00412994">
              <w:rPr>
                <w:rFonts w:eastAsiaTheme="minorEastAsia" w:cs="Arial"/>
                <w:kern w:val="24"/>
                <w:szCs w:val="24"/>
              </w:rPr>
              <w:t>Unite (</w:t>
            </w:r>
            <w:hyperlink r:id="rId18" w:history="1">
              <w:r w:rsidRPr="00412994">
                <w:rPr>
                  <w:rStyle w:val="Hyperlink"/>
                  <w:rFonts w:eastAsiaTheme="minorEastAsia" w:cs="Arial"/>
                  <w:kern w:val="24"/>
                  <w:szCs w:val="24"/>
                  <w:lang w:val="en-US"/>
                </w:rPr>
                <w:t>https://www.unitetheunion.org/</w:t>
              </w:r>
            </w:hyperlink>
            <w:hyperlink r:id="rId19" w:history="1">
              <w:r w:rsidRPr="00412994">
                <w:rPr>
                  <w:rStyle w:val="Hyperlink"/>
                  <w:rFonts w:eastAsiaTheme="minorEastAsia" w:cs="Arial"/>
                  <w:kern w:val="24"/>
                  <w:szCs w:val="24"/>
                  <w:lang w:val="en-US"/>
                </w:rPr>
                <w:t>contact-us</w:t>
              </w:r>
            </w:hyperlink>
            <w:r w:rsidRPr="00412994">
              <w:rPr>
                <w:rFonts w:eastAsiaTheme="minorEastAsia" w:cs="Arial"/>
                <w:kern w:val="24"/>
                <w:szCs w:val="24"/>
              </w:rPr>
              <w:t>)</w:t>
            </w:r>
          </w:p>
        </w:tc>
      </w:tr>
      <w:tr w:rsidR="00412994" w:rsidRPr="00412994" w14:paraId="10CF5724" w14:textId="77777777" w:rsidTr="00412994">
        <w:trPr>
          <w:trHeight w:val="510"/>
        </w:trPr>
        <w:tc>
          <w:tcPr>
            <w:tcW w:w="3154" w:type="dxa"/>
            <w:vMerge/>
          </w:tcPr>
          <w:p w14:paraId="2F68CC2A" w14:textId="0F1E53B3" w:rsidR="00500F61" w:rsidRPr="00412994" w:rsidRDefault="00500F61" w:rsidP="00C219AF">
            <w:pPr>
              <w:jc w:val="both"/>
              <w:rPr>
                <w:rFonts w:cs="Arial"/>
                <w:szCs w:val="24"/>
              </w:rPr>
            </w:pPr>
          </w:p>
        </w:tc>
        <w:tc>
          <w:tcPr>
            <w:tcW w:w="5862" w:type="dxa"/>
          </w:tcPr>
          <w:p w14:paraId="626D291E" w14:textId="6678D8C3" w:rsidR="00500F61" w:rsidRPr="00412994" w:rsidRDefault="00500F61" w:rsidP="00C219AF">
            <w:pPr>
              <w:jc w:val="both"/>
              <w:rPr>
                <w:rFonts w:cs="Arial"/>
                <w:szCs w:val="24"/>
              </w:rPr>
            </w:pPr>
            <w:r w:rsidRPr="00412994">
              <w:rPr>
                <w:rFonts w:eastAsiaTheme="minorEastAsia" w:cs="Arial"/>
                <w:kern w:val="24"/>
                <w:szCs w:val="24"/>
              </w:rPr>
              <w:t>Unison (</w:t>
            </w:r>
            <w:hyperlink r:id="rId20" w:history="1">
              <w:r w:rsidRPr="00412994">
                <w:rPr>
                  <w:rStyle w:val="Hyperlink"/>
                  <w:rFonts w:eastAsiaTheme="minorEastAsia" w:cs="Arial"/>
                  <w:kern w:val="24"/>
                  <w:szCs w:val="24"/>
                  <w:lang w:val="en-US"/>
                </w:rPr>
                <w:t>https://www.unison.org.uk/about/contact</w:t>
              </w:r>
            </w:hyperlink>
            <w:hyperlink r:id="rId21" w:history="1">
              <w:r w:rsidRPr="00412994">
                <w:rPr>
                  <w:rStyle w:val="Hyperlink"/>
                  <w:rFonts w:eastAsiaTheme="minorEastAsia" w:cs="Arial"/>
                  <w:kern w:val="24"/>
                  <w:szCs w:val="24"/>
                  <w:lang w:val="en-US"/>
                </w:rPr>
                <w:t>/</w:t>
              </w:r>
            </w:hyperlink>
            <w:r w:rsidRPr="00412994">
              <w:rPr>
                <w:rFonts w:eastAsiaTheme="minorEastAsia" w:cs="Arial"/>
                <w:kern w:val="24"/>
                <w:szCs w:val="24"/>
              </w:rPr>
              <w:t>)</w:t>
            </w:r>
          </w:p>
        </w:tc>
      </w:tr>
      <w:tr w:rsidR="00412994" w:rsidRPr="00412994" w14:paraId="2F4A4D08" w14:textId="77777777" w:rsidTr="00412994">
        <w:trPr>
          <w:trHeight w:val="510"/>
        </w:trPr>
        <w:tc>
          <w:tcPr>
            <w:tcW w:w="3154" w:type="dxa"/>
            <w:vMerge/>
          </w:tcPr>
          <w:p w14:paraId="7D4EC17D" w14:textId="197DB9CB" w:rsidR="00500F61" w:rsidRPr="00412994" w:rsidRDefault="00500F61" w:rsidP="00C219AF">
            <w:pPr>
              <w:jc w:val="both"/>
              <w:rPr>
                <w:rFonts w:cs="Arial"/>
                <w:szCs w:val="24"/>
              </w:rPr>
            </w:pPr>
          </w:p>
        </w:tc>
        <w:tc>
          <w:tcPr>
            <w:tcW w:w="5862" w:type="dxa"/>
          </w:tcPr>
          <w:p w14:paraId="5161C834" w14:textId="3EC8FCAF" w:rsidR="00500F61" w:rsidRPr="00412994" w:rsidRDefault="00500F61" w:rsidP="00C219AF">
            <w:pPr>
              <w:jc w:val="both"/>
              <w:rPr>
                <w:rFonts w:cs="Arial"/>
                <w:szCs w:val="24"/>
              </w:rPr>
            </w:pPr>
            <w:r w:rsidRPr="00412994">
              <w:rPr>
                <w:rFonts w:eastAsiaTheme="minorEastAsia" w:cs="Arial"/>
                <w:kern w:val="24"/>
                <w:szCs w:val="24"/>
              </w:rPr>
              <w:t>NEU (</w:t>
            </w:r>
            <w:hyperlink r:id="rId22" w:history="1">
              <w:r w:rsidRPr="00412994">
                <w:rPr>
                  <w:rStyle w:val="Hyperlink"/>
                  <w:rFonts w:eastAsiaTheme="minorEastAsia" w:cs="Arial"/>
                  <w:kern w:val="24"/>
                  <w:szCs w:val="24"/>
                  <w:lang w:val="en-US"/>
                </w:rPr>
                <w:t>https</w:t>
              </w:r>
            </w:hyperlink>
            <w:hyperlink r:id="rId23" w:history="1">
              <w:r w:rsidRPr="00412994">
                <w:rPr>
                  <w:rStyle w:val="Hyperlink"/>
                  <w:rFonts w:eastAsiaTheme="minorEastAsia" w:cs="Arial"/>
                  <w:kern w:val="24"/>
                  <w:szCs w:val="24"/>
                  <w:lang w:val="en-US"/>
                </w:rPr>
                <w:t>://neu.org.uk/about/</w:t>
              </w:r>
            </w:hyperlink>
            <w:hyperlink r:id="rId24" w:history="1">
              <w:r w:rsidRPr="00412994">
                <w:rPr>
                  <w:rStyle w:val="Hyperlink"/>
                  <w:rFonts w:eastAsiaTheme="minorEastAsia" w:cs="Arial"/>
                  <w:kern w:val="24"/>
                  <w:szCs w:val="24"/>
                  <w:lang w:val="en-US"/>
                </w:rPr>
                <w:t>contact-us</w:t>
              </w:r>
            </w:hyperlink>
            <w:r w:rsidRPr="00412994">
              <w:rPr>
                <w:rFonts w:eastAsiaTheme="minorEastAsia" w:cs="Arial"/>
                <w:kern w:val="24"/>
                <w:szCs w:val="24"/>
              </w:rPr>
              <w:t>)</w:t>
            </w:r>
          </w:p>
        </w:tc>
      </w:tr>
      <w:tr w:rsidR="00412994" w:rsidRPr="00412994" w14:paraId="1AF725E1" w14:textId="77777777" w:rsidTr="00412994">
        <w:trPr>
          <w:trHeight w:val="510"/>
        </w:trPr>
        <w:tc>
          <w:tcPr>
            <w:tcW w:w="3154" w:type="dxa"/>
            <w:vMerge/>
          </w:tcPr>
          <w:p w14:paraId="740328DE" w14:textId="77777777" w:rsidR="00500F61" w:rsidRPr="00412994" w:rsidRDefault="00500F61" w:rsidP="00C219AF">
            <w:pPr>
              <w:jc w:val="both"/>
              <w:rPr>
                <w:rFonts w:eastAsiaTheme="minorEastAsia" w:cs="Arial"/>
                <w:kern w:val="24"/>
                <w:szCs w:val="24"/>
              </w:rPr>
            </w:pPr>
          </w:p>
        </w:tc>
        <w:tc>
          <w:tcPr>
            <w:tcW w:w="5862" w:type="dxa"/>
          </w:tcPr>
          <w:p w14:paraId="3843C55C" w14:textId="3F92960C" w:rsidR="00500F61" w:rsidRPr="00412994" w:rsidRDefault="00500F61" w:rsidP="00C219AF">
            <w:pPr>
              <w:jc w:val="both"/>
              <w:rPr>
                <w:rFonts w:eastAsiaTheme="minorEastAsia" w:cs="Arial"/>
                <w:kern w:val="24"/>
                <w:szCs w:val="24"/>
              </w:rPr>
            </w:pPr>
            <w:r w:rsidRPr="00412994">
              <w:rPr>
                <w:rFonts w:eastAsiaTheme="minorEastAsia" w:cs="Arial"/>
                <w:kern w:val="24"/>
                <w:szCs w:val="24"/>
              </w:rPr>
              <w:t>NASUWT (</w:t>
            </w:r>
            <w:hyperlink r:id="rId25" w:history="1">
              <w:r w:rsidRPr="00412994">
                <w:rPr>
                  <w:rStyle w:val="Hyperlink"/>
                  <w:rFonts w:eastAsiaTheme="minorEastAsia" w:cs="Arial"/>
                  <w:kern w:val="24"/>
                  <w:szCs w:val="24"/>
                  <w:lang w:val="en-US"/>
                </w:rPr>
                <w:t>https://www.nasuwt.org.uk/contact-us.</w:t>
              </w:r>
            </w:hyperlink>
            <w:hyperlink r:id="rId26" w:history="1">
              <w:r w:rsidRPr="00412994">
                <w:rPr>
                  <w:rStyle w:val="Hyperlink"/>
                  <w:rFonts w:eastAsiaTheme="minorEastAsia" w:cs="Arial"/>
                  <w:kern w:val="24"/>
                  <w:szCs w:val="24"/>
                  <w:lang w:val="en-US"/>
                </w:rPr>
                <w:t>html</w:t>
              </w:r>
            </w:hyperlink>
            <w:r w:rsidRPr="00412994">
              <w:rPr>
                <w:rFonts w:eastAsiaTheme="minorEastAsia" w:cs="Arial"/>
                <w:kern w:val="24"/>
                <w:szCs w:val="24"/>
              </w:rPr>
              <w:t>)</w:t>
            </w:r>
          </w:p>
        </w:tc>
      </w:tr>
      <w:tr w:rsidR="00412994" w:rsidRPr="00412994" w14:paraId="1A705CFF" w14:textId="77777777" w:rsidTr="00412994">
        <w:trPr>
          <w:trHeight w:val="510"/>
        </w:trPr>
        <w:tc>
          <w:tcPr>
            <w:tcW w:w="3154" w:type="dxa"/>
            <w:vMerge/>
          </w:tcPr>
          <w:p w14:paraId="3BD271FA" w14:textId="77777777" w:rsidR="00500F61" w:rsidRPr="00412994" w:rsidRDefault="00500F61" w:rsidP="00C219AF">
            <w:pPr>
              <w:jc w:val="both"/>
              <w:rPr>
                <w:rFonts w:eastAsiaTheme="minorEastAsia" w:cs="Arial"/>
                <w:kern w:val="24"/>
                <w:szCs w:val="24"/>
              </w:rPr>
            </w:pPr>
          </w:p>
        </w:tc>
        <w:tc>
          <w:tcPr>
            <w:tcW w:w="5862" w:type="dxa"/>
          </w:tcPr>
          <w:p w14:paraId="136B678E" w14:textId="75932758" w:rsidR="00500F61" w:rsidRPr="00412994" w:rsidRDefault="00500F61" w:rsidP="00C219AF">
            <w:pPr>
              <w:jc w:val="both"/>
              <w:rPr>
                <w:rFonts w:eastAsiaTheme="minorEastAsia" w:cs="Arial"/>
                <w:kern w:val="24"/>
                <w:szCs w:val="24"/>
              </w:rPr>
            </w:pPr>
            <w:r w:rsidRPr="00412994">
              <w:rPr>
                <w:rFonts w:eastAsiaTheme="minorEastAsia" w:cs="Arial"/>
                <w:kern w:val="24"/>
                <w:szCs w:val="24"/>
              </w:rPr>
              <w:t>NAHT (</w:t>
            </w:r>
            <w:hyperlink r:id="rId27" w:history="1">
              <w:r w:rsidRPr="00412994">
                <w:rPr>
                  <w:rStyle w:val="Hyperlink"/>
                  <w:rFonts w:eastAsiaTheme="minorEastAsia" w:cs="Arial"/>
                  <w:kern w:val="24"/>
                  <w:szCs w:val="24"/>
                  <w:lang w:val="en-US"/>
                </w:rPr>
                <w:t>https://www.naht.org.uk/About-Us/</w:t>
              </w:r>
            </w:hyperlink>
            <w:hyperlink r:id="rId28" w:history="1">
              <w:r w:rsidRPr="00412994">
                <w:rPr>
                  <w:rStyle w:val="Hyperlink"/>
                  <w:rFonts w:eastAsiaTheme="minorEastAsia" w:cs="Arial"/>
                  <w:kern w:val="24"/>
                  <w:szCs w:val="24"/>
                  <w:lang w:val="en-US"/>
                </w:rPr>
                <w:t>Contact-us</w:t>
              </w:r>
            </w:hyperlink>
            <w:r w:rsidRPr="00412994">
              <w:rPr>
                <w:rFonts w:eastAsiaTheme="minorEastAsia" w:cs="Arial"/>
                <w:kern w:val="24"/>
                <w:szCs w:val="24"/>
              </w:rPr>
              <w:t>)</w:t>
            </w:r>
          </w:p>
        </w:tc>
      </w:tr>
      <w:tr w:rsidR="00412994" w:rsidRPr="00412994" w14:paraId="18E8924A" w14:textId="77777777" w:rsidTr="00412994">
        <w:trPr>
          <w:trHeight w:val="510"/>
        </w:trPr>
        <w:tc>
          <w:tcPr>
            <w:tcW w:w="3154" w:type="dxa"/>
            <w:vMerge/>
          </w:tcPr>
          <w:p w14:paraId="7A39D160" w14:textId="77777777" w:rsidR="00500F61" w:rsidRPr="00412994" w:rsidRDefault="00500F61" w:rsidP="00C219AF">
            <w:pPr>
              <w:jc w:val="both"/>
              <w:rPr>
                <w:rFonts w:eastAsiaTheme="minorEastAsia" w:cs="Arial"/>
                <w:kern w:val="24"/>
                <w:szCs w:val="24"/>
              </w:rPr>
            </w:pPr>
          </w:p>
        </w:tc>
        <w:tc>
          <w:tcPr>
            <w:tcW w:w="5862" w:type="dxa"/>
          </w:tcPr>
          <w:p w14:paraId="1722461D" w14:textId="295944C5" w:rsidR="00500F61" w:rsidRPr="00412994" w:rsidRDefault="00500F61" w:rsidP="00C219AF">
            <w:pPr>
              <w:jc w:val="both"/>
              <w:rPr>
                <w:rFonts w:eastAsiaTheme="minorEastAsia" w:cs="Arial"/>
                <w:kern w:val="24"/>
                <w:szCs w:val="24"/>
              </w:rPr>
            </w:pPr>
            <w:r w:rsidRPr="00412994">
              <w:rPr>
                <w:rFonts w:eastAsiaTheme="minorEastAsia" w:cs="Arial"/>
                <w:kern w:val="24"/>
                <w:szCs w:val="24"/>
              </w:rPr>
              <w:t>Community (</w:t>
            </w:r>
            <w:hyperlink r:id="rId29" w:history="1">
              <w:r w:rsidRPr="00412994">
                <w:rPr>
                  <w:rStyle w:val="Hyperlink"/>
                  <w:rFonts w:eastAsiaTheme="minorEastAsia" w:cs="Arial"/>
                  <w:kern w:val="24"/>
                  <w:szCs w:val="24"/>
                  <w:lang w:val="en-US"/>
                </w:rPr>
                <w:t>https://community-tu.org/homepage/get-help-now</w:t>
              </w:r>
            </w:hyperlink>
            <w:hyperlink r:id="rId30" w:history="1">
              <w:r w:rsidRPr="00412994">
                <w:rPr>
                  <w:rStyle w:val="Hyperlink"/>
                  <w:rFonts w:eastAsiaTheme="minorEastAsia" w:cs="Arial"/>
                  <w:kern w:val="24"/>
                  <w:szCs w:val="24"/>
                  <w:lang w:val="en-US"/>
                </w:rPr>
                <w:t>/</w:t>
              </w:r>
            </w:hyperlink>
            <w:r w:rsidRPr="00412994">
              <w:rPr>
                <w:rFonts w:eastAsiaTheme="minorEastAsia" w:cs="Arial"/>
                <w:kern w:val="24"/>
                <w:szCs w:val="24"/>
              </w:rPr>
              <w:t>)</w:t>
            </w:r>
          </w:p>
        </w:tc>
      </w:tr>
      <w:tr w:rsidR="00412994" w:rsidRPr="00412994" w14:paraId="68FBA5CE" w14:textId="77777777" w:rsidTr="00412994">
        <w:trPr>
          <w:trHeight w:val="510"/>
        </w:trPr>
        <w:tc>
          <w:tcPr>
            <w:tcW w:w="3154" w:type="dxa"/>
          </w:tcPr>
          <w:p w14:paraId="463CB651" w14:textId="6B7C3357" w:rsidR="00500F61" w:rsidRPr="00412994" w:rsidRDefault="00500F61" w:rsidP="00C219AF">
            <w:pPr>
              <w:jc w:val="both"/>
              <w:rPr>
                <w:rFonts w:eastAsiaTheme="minorEastAsia" w:cs="Arial"/>
                <w:kern w:val="24"/>
                <w:szCs w:val="24"/>
              </w:rPr>
            </w:pPr>
            <w:r w:rsidRPr="00412994">
              <w:rPr>
                <w:rFonts w:eastAsiaTheme="minorEastAsia" w:cs="Arial"/>
                <w:kern w:val="24"/>
                <w:szCs w:val="24"/>
              </w:rPr>
              <w:t>Rights of Women</w:t>
            </w:r>
          </w:p>
        </w:tc>
        <w:tc>
          <w:tcPr>
            <w:tcW w:w="5862" w:type="dxa"/>
          </w:tcPr>
          <w:p w14:paraId="222B0F6E" w14:textId="1209818B" w:rsidR="00500F61" w:rsidRPr="00412994" w:rsidRDefault="00546491" w:rsidP="00C219AF">
            <w:pPr>
              <w:jc w:val="both"/>
              <w:rPr>
                <w:rFonts w:eastAsiaTheme="minorEastAsia" w:cs="Arial"/>
                <w:kern w:val="24"/>
                <w:szCs w:val="24"/>
                <w:u w:val="single"/>
              </w:rPr>
            </w:pPr>
            <w:hyperlink r:id="rId31" w:history="1">
              <w:r w:rsidR="00500F61" w:rsidRPr="00412994">
                <w:rPr>
                  <w:rStyle w:val="Hyperlink"/>
                  <w:rFonts w:eastAsiaTheme="minorEastAsia" w:cs="Arial"/>
                  <w:kern w:val="24"/>
                  <w:szCs w:val="24"/>
                  <w:lang w:val="en-US"/>
                </w:rPr>
                <w:t>https://www.rightsofwomen.org.uk</w:t>
              </w:r>
            </w:hyperlink>
            <w:hyperlink r:id="rId32" w:history="1">
              <w:r w:rsidR="00500F61" w:rsidRPr="00412994">
                <w:rPr>
                  <w:rStyle w:val="Hyperlink"/>
                  <w:rFonts w:eastAsiaTheme="minorEastAsia" w:cs="Arial"/>
                  <w:kern w:val="24"/>
                  <w:szCs w:val="24"/>
                  <w:lang w:val="en-US"/>
                </w:rPr>
                <w:t>/</w:t>
              </w:r>
            </w:hyperlink>
          </w:p>
        </w:tc>
      </w:tr>
      <w:tr w:rsidR="00412994" w:rsidRPr="00412994" w14:paraId="6BB5597B" w14:textId="77777777" w:rsidTr="00412994">
        <w:trPr>
          <w:trHeight w:val="510"/>
        </w:trPr>
        <w:tc>
          <w:tcPr>
            <w:tcW w:w="3154" w:type="dxa"/>
          </w:tcPr>
          <w:p w14:paraId="30B900EA" w14:textId="3BC8BEED" w:rsidR="00500F61" w:rsidRPr="00412994" w:rsidRDefault="00500F61" w:rsidP="00C219AF">
            <w:pPr>
              <w:jc w:val="both"/>
              <w:rPr>
                <w:rFonts w:eastAsiaTheme="minorEastAsia" w:cs="Arial"/>
                <w:kern w:val="24"/>
                <w:szCs w:val="24"/>
              </w:rPr>
            </w:pPr>
            <w:r w:rsidRPr="00412994">
              <w:rPr>
                <w:rFonts w:cs="Arial"/>
              </w:rPr>
              <w:t xml:space="preserve">Samaritans </w:t>
            </w:r>
          </w:p>
        </w:tc>
        <w:tc>
          <w:tcPr>
            <w:tcW w:w="5862" w:type="dxa"/>
          </w:tcPr>
          <w:p w14:paraId="4464D7BD" w14:textId="7878FB14" w:rsidR="00500F61" w:rsidRPr="00412994" w:rsidRDefault="00500F61" w:rsidP="00C219AF">
            <w:pPr>
              <w:jc w:val="both"/>
              <w:rPr>
                <w:rStyle w:val="Hyperlink"/>
                <w:lang w:val="en-US"/>
              </w:rPr>
            </w:pPr>
            <w:r w:rsidRPr="00412994">
              <w:rPr>
                <w:rStyle w:val="Hyperlink"/>
                <w:rFonts w:eastAsiaTheme="minorEastAsia"/>
                <w:kern w:val="24"/>
                <w:szCs w:val="24"/>
                <w:lang w:val="en-US"/>
              </w:rPr>
              <w:t>https://www.samaritans.org/how-we-can-help/contact-samaritan/talk-us-phone/</w:t>
            </w:r>
          </w:p>
        </w:tc>
      </w:tr>
      <w:tr w:rsidR="00412994" w:rsidRPr="00412994" w14:paraId="342E4033" w14:textId="77777777" w:rsidTr="00412994">
        <w:trPr>
          <w:trHeight w:val="510"/>
        </w:trPr>
        <w:tc>
          <w:tcPr>
            <w:tcW w:w="3154" w:type="dxa"/>
          </w:tcPr>
          <w:p w14:paraId="16A49182" w14:textId="1F515C5F" w:rsidR="00500F61" w:rsidRPr="00412994" w:rsidRDefault="00500F61" w:rsidP="00C219AF">
            <w:pPr>
              <w:jc w:val="both"/>
              <w:rPr>
                <w:rFonts w:eastAsiaTheme="minorEastAsia" w:cs="Arial"/>
                <w:kern w:val="24"/>
                <w:szCs w:val="24"/>
              </w:rPr>
            </w:pPr>
            <w:r w:rsidRPr="00412994">
              <w:rPr>
                <w:rFonts w:cs="Arial"/>
              </w:rPr>
              <w:t xml:space="preserve">LGBT Foundation </w:t>
            </w:r>
          </w:p>
        </w:tc>
        <w:tc>
          <w:tcPr>
            <w:tcW w:w="5862" w:type="dxa"/>
          </w:tcPr>
          <w:p w14:paraId="426EEAB0" w14:textId="7731CFEF" w:rsidR="00500F61" w:rsidRPr="00412994" w:rsidRDefault="00500F61" w:rsidP="00C219AF">
            <w:pPr>
              <w:jc w:val="both"/>
              <w:rPr>
                <w:rFonts w:eastAsiaTheme="minorEastAsia" w:cs="Arial"/>
                <w:kern w:val="24"/>
                <w:szCs w:val="24"/>
              </w:rPr>
            </w:pPr>
            <w:r w:rsidRPr="00412994">
              <w:rPr>
                <w:rStyle w:val="Hyperlink"/>
                <w:rFonts w:eastAsiaTheme="minorEastAsia"/>
                <w:kern w:val="24"/>
                <w:szCs w:val="24"/>
                <w:lang w:val="en-US"/>
              </w:rPr>
              <w:t>https://lgbt.foundation/contact-support/</w:t>
            </w:r>
          </w:p>
        </w:tc>
      </w:tr>
      <w:tr w:rsidR="00412994" w:rsidRPr="00412994" w14:paraId="77E2DBB6" w14:textId="77777777" w:rsidTr="00412994">
        <w:trPr>
          <w:trHeight w:val="510"/>
        </w:trPr>
        <w:tc>
          <w:tcPr>
            <w:tcW w:w="3154" w:type="dxa"/>
          </w:tcPr>
          <w:p w14:paraId="55635A73" w14:textId="0F516CED" w:rsidR="00500F61" w:rsidRPr="00412994" w:rsidRDefault="00500F61" w:rsidP="00C219AF">
            <w:pPr>
              <w:jc w:val="both"/>
              <w:rPr>
                <w:rFonts w:eastAsiaTheme="minorEastAsia" w:cs="Arial"/>
                <w:kern w:val="24"/>
                <w:szCs w:val="24"/>
              </w:rPr>
            </w:pPr>
            <w:r w:rsidRPr="00412994">
              <w:rPr>
                <w:rFonts w:cs="Arial"/>
              </w:rPr>
              <w:t xml:space="preserve">Rape Crisis </w:t>
            </w:r>
          </w:p>
        </w:tc>
        <w:tc>
          <w:tcPr>
            <w:tcW w:w="5862" w:type="dxa"/>
          </w:tcPr>
          <w:p w14:paraId="5F91CFEF" w14:textId="7028FB66" w:rsidR="00500F61" w:rsidRPr="00412994" w:rsidRDefault="00500F61" w:rsidP="00C219AF">
            <w:pPr>
              <w:jc w:val="both"/>
              <w:rPr>
                <w:rStyle w:val="Hyperlink"/>
                <w:lang w:val="en-US"/>
              </w:rPr>
            </w:pPr>
            <w:r w:rsidRPr="00412994">
              <w:rPr>
                <w:rStyle w:val="Hyperlink"/>
                <w:rFonts w:eastAsiaTheme="minorEastAsia"/>
                <w:kern w:val="24"/>
                <w:szCs w:val="24"/>
                <w:lang w:val="en-US"/>
              </w:rPr>
              <w:t>https://rapecrisis.org.uk/get-help/want-to-talk/</w:t>
            </w:r>
          </w:p>
        </w:tc>
      </w:tr>
      <w:tr w:rsidR="00412994" w:rsidRPr="00412994" w14:paraId="78A5CB77" w14:textId="77777777" w:rsidTr="00412994">
        <w:trPr>
          <w:trHeight w:val="510"/>
        </w:trPr>
        <w:tc>
          <w:tcPr>
            <w:tcW w:w="3154" w:type="dxa"/>
          </w:tcPr>
          <w:p w14:paraId="5318775B" w14:textId="41CC6D5B" w:rsidR="00500F61" w:rsidRPr="00412994" w:rsidRDefault="00500F61" w:rsidP="00C219AF">
            <w:pPr>
              <w:jc w:val="both"/>
              <w:rPr>
                <w:rFonts w:eastAsiaTheme="minorEastAsia" w:cs="Arial"/>
                <w:kern w:val="24"/>
                <w:szCs w:val="24"/>
              </w:rPr>
            </w:pPr>
            <w:r w:rsidRPr="00412994">
              <w:rPr>
                <w:rFonts w:cs="Arial"/>
              </w:rPr>
              <w:t xml:space="preserve">Victim Support </w:t>
            </w:r>
          </w:p>
        </w:tc>
        <w:tc>
          <w:tcPr>
            <w:tcW w:w="5862" w:type="dxa"/>
          </w:tcPr>
          <w:p w14:paraId="6CA7B3B3" w14:textId="0C17F050" w:rsidR="00500F61" w:rsidRPr="00412994" w:rsidRDefault="00500F61" w:rsidP="00C219AF">
            <w:pPr>
              <w:jc w:val="both"/>
              <w:rPr>
                <w:rStyle w:val="Hyperlink"/>
                <w:lang w:val="en-US"/>
              </w:rPr>
            </w:pPr>
            <w:r w:rsidRPr="00412994">
              <w:rPr>
                <w:rStyle w:val="Hyperlink"/>
                <w:rFonts w:eastAsiaTheme="minorEastAsia"/>
                <w:kern w:val="24"/>
                <w:szCs w:val="24"/>
                <w:lang w:val="en-US"/>
              </w:rPr>
              <w:t>https://www.victimsupport.org.uk/more-us/contact-us/</w:t>
            </w:r>
          </w:p>
        </w:tc>
      </w:tr>
      <w:tr w:rsidR="00412994" w:rsidRPr="00412994" w14:paraId="48BBBD67" w14:textId="77777777" w:rsidTr="00412994">
        <w:trPr>
          <w:trHeight w:val="510"/>
        </w:trPr>
        <w:tc>
          <w:tcPr>
            <w:tcW w:w="3154" w:type="dxa"/>
          </w:tcPr>
          <w:p w14:paraId="61E2BA13" w14:textId="4308FD4E" w:rsidR="00500F61" w:rsidRPr="00412994" w:rsidRDefault="00500F61" w:rsidP="00C219AF">
            <w:pPr>
              <w:jc w:val="both"/>
              <w:rPr>
                <w:rFonts w:cs="Arial"/>
              </w:rPr>
            </w:pPr>
            <w:r w:rsidRPr="00412994">
              <w:rPr>
                <w:rFonts w:cs="Arial"/>
              </w:rPr>
              <w:lastRenderedPageBreak/>
              <w:t>Reporting a crime</w:t>
            </w:r>
          </w:p>
        </w:tc>
        <w:tc>
          <w:tcPr>
            <w:tcW w:w="5862" w:type="dxa"/>
          </w:tcPr>
          <w:p w14:paraId="579D13E6" w14:textId="77777777" w:rsidR="00500F61" w:rsidRPr="00412994" w:rsidRDefault="00500F61" w:rsidP="00C219AF">
            <w:pPr>
              <w:jc w:val="both"/>
              <w:rPr>
                <w:rFonts w:cs="Arial"/>
              </w:rPr>
            </w:pPr>
            <w:r w:rsidRPr="00500F61">
              <w:rPr>
                <w:rFonts w:cs="Arial"/>
              </w:rPr>
              <w:t>Emergency: Call 999</w:t>
            </w:r>
          </w:p>
          <w:p w14:paraId="294D6D14" w14:textId="77777777" w:rsidR="00500F61" w:rsidRPr="00500F61" w:rsidRDefault="00500F61" w:rsidP="00C219AF">
            <w:pPr>
              <w:jc w:val="both"/>
              <w:rPr>
                <w:rFonts w:cs="Arial"/>
              </w:rPr>
            </w:pPr>
          </w:p>
          <w:p w14:paraId="3662DA9D" w14:textId="0EB616B0" w:rsidR="00500F61" w:rsidRPr="00412994" w:rsidRDefault="00500F61" w:rsidP="00C219AF">
            <w:pPr>
              <w:jc w:val="both"/>
              <w:rPr>
                <w:rFonts w:cs="Arial"/>
              </w:rPr>
            </w:pPr>
            <w:r w:rsidRPr="00412994">
              <w:rPr>
                <w:rFonts w:cs="Arial"/>
              </w:rPr>
              <w:t>Non-Emergency: Call 101 or report online (</w:t>
            </w:r>
            <w:hyperlink r:id="rId33" w:history="1">
              <w:r w:rsidRPr="00412994">
                <w:rPr>
                  <w:rStyle w:val="Hyperlink"/>
                  <w:rFonts w:eastAsiaTheme="minorEastAsia"/>
                  <w:kern w:val="24"/>
                  <w:szCs w:val="24"/>
                  <w:lang w:val="en-US"/>
                </w:rPr>
                <w:t>https://www.police.uk/pu/contact-us/what-and-how-to-report/how-to-report/</w:t>
              </w:r>
            </w:hyperlink>
            <w:r w:rsidRPr="00412994">
              <w:rPr>
                <w:rFonts w:cs="Arial"/>
              </w:rPr>
              <w:t>)</w:t>
            </w:r>
          </w:p>
          <w:p w14:paraId="5209457D" w14:textId="40115431" w:rsidR="00500F61" w:rsidRPr="00412994" w:rsidRDefault="00500F61" w:rsidP="00C219AF">
            <w:pPr>
              <w:jc w:val="both"/>
              <w:rPr>
                <w:rFonts w:cs="Arial"/>
              </w:rPr>
            </w:pPr>
          </w:p>
        </w:tc>
      </w:tr>
      <w:tr w:rsidR="00412994" w:rsidRPr="00412994" w14:paraId="1BD7A7FF" w14:textId="77777777" w:rsidTr="00412994">
        <w:trPr>
          <w:trHeight w:val="510"/>
        </w:trPr>
        <w:tc>
          <w:tcPr>
            <w:tcW w:w="3154" w:type="dxa"/>
          </w:tcPr>
          <w:p w14:paraId="5302975A" w14:textId="3DD668E8" w:rsidR="00500F61" w:rsidRPr="00412994" w:rsidRDefault="00500F61" w:rsidP="00C219AF">
            <w:pPr>
              <w:jc w:val="both"/>
              <w:rPr>
                <w:rFonts w:cs="Arial"/>
              </w:rPr>
            </w:pPr>
            <w:r w:rsidRPr="00412994">
              <w:rPr>
                <w:rFonts w:cs="Arial"/>
              </w:rPr>
              <w:t xml:space="preserve">The Survivors Trust </w:t>
            </w:r>
          </w:p>
        </w:tc>
        <w:tc>
          <w:tcPr>
            <w:tcW w:w="5862" w:type="dxa"/>
          </w:tcPr>
          <w:p w14:paraId="257530A3" w14:textId="43281458" w:rsidR="00500F61" w:rsidRPr="00412994" w:rsidRDefault="00500F61" w:rsidP="00C219AF">
            <w:pPr>
              <w:jc w:val="both"/>
              <w:rPr>
                <w:rStyle w:val="Hyperlink"/>
                <w:rFonts w:eastAsiaTheme="minorEastAsia"/>
                <w:kern w:val="24"/>
                <w:szCs w:val="24"/>
                <w:lang w:val="en-US"/>
              </w:rPr>
            </w:pPr>
            <w:r w:rsidRPr="00412994">
              <w:rPr>
                <w:rStyle w:val="Hyperlink"/>
                <w:rFonts w:eastAsiaTheme="minorEastAsia"/>
                <w:kern w:val="24"/>
                <w:szCs w:val="24"/>
                <w:lang w:val="en-US"/>
              </w:rPr>
              <w:t>https://thesurvivorstrust.eu.rit.org.uk/</w:t>
            </w:r>
          </w:p>
        </w:tc>
      </w:tr>
      <w:tr w:rsidR="00412994" w:rsidRPr="00412994" w14:paraId="2FB82CC6" w14:textId="77777777" w:rsidTr="00412994">
        <w:trPr>
          <w:trHeight w:val="510"/>
        </w:trPr>
        <w:tc>
          <w:tcPr>
            <w:tcW w:w="3154" w:type="dxa"/>
          </w:tcPr>
          <w:p w14:paraId="5A05C61E" w14:textId="73A15CDE" w:rsidR="00500F61" w:rsidRPr="00412994" w:rsidRDefault="00500F61" w:rsidP="00C219AF">
            <w:pPr>
              <w:jc w:val="both"/>
              <w:rPr>
                <w:rFonts w:cs="Arial"/>
              </w:rPr>
            </w:pPr>
            <w:proofErr w:type="spellStart"/>
            <w:r w:rsidRPr="00412994">
              <w:rPr>
                <w:rFonts w:cs="Arial"/>
              </w:rPr>
              <w:t>SurvivorsUK</w:t>
            </w:r>
            <w:proofErr w:type="spellEnd"/>
            <w:r w:rsidRPr="00412994">
              <w:rPr>
                <w:rFonts w:cs="Arial"/>
              </w:rPr>
              <w:t xml:space="preserve"> </w:t>
            </w:r>
          </w:p>
        </w:tc>
        <w:tc>
          <w:tcPr>
            <w:tcW w:w="5862" w:type="dxa"/>
          </w:tcPr>
          <w:p w14:paraId="2A8E49F6" w14:textId="636378D6" w:rsidR="00500F61" w:rsidRPr="00412994" w:rsidRDefault="00500F61" w:rsidP="00C219AF">
            <w:pPr>
              <w:jc w:val="both"/>
              <w:rPr>
                <w:rStyle w:val="Hyperlink"/>
                <w:rFonts w:eastAsiaTheme="minorEastAsia"/>
                <w:kern w:val="24"/>
                <w:szCs w:val="24"/>
                <w:lang w:val="en-US"/>
              </w:rPr>
            </w:pPr>
            <w:r w:rsidRPr="00412994">
              <w:rPr>
                <w:rStyle w:val="Hyperlink"/>
                <w:rFonts w:eastAsiaTheme="minorEastAsia"/>
                <w:kern w:val="24"/>
                <w:szCs w:val="24"/>
                <w:lang w:val="en-US"/>
              </w:rPr>
              <w:t>https://www.survivorsuk.org/</w:t>
            </w:r>
          </w:p>
        </w:tc>
      </w:tr>
      <w:tr w:rsidR="00412994" w:rsidRPr="00412994" w14:paraId="75DEC757" w14:textId="77777777" w:rsidTr="00412994">
        <w:trPr>
          <w:trHeight w:val="510"/>
        </w:trPr>
        <w:tc>
          <w:tcPr>
            <w:tcW w:w="3154" w:type="dxa"/>
          </w:tcPr>
          <w:p w14:paraId="281646DE" w14:textId="7A1F891F" w:rsidR="00500F61" w:rsidRPr="00412994" w:rsidRDefault="00500F61" w:rsidP="00C219AF">
            <w:pPr>
              <w:jc w:val="both"/>
              <w:rPr>
                <w:rFonts w:cs="Arial"/>
              </w:rPr>
            </w:pPr>
            <w:r w:rsidRPr="00412994">
              <w:rPr>
                <w:rFonts w:cs="Arial"/>
              </w:rPr>
              <w:t xml:space="preserve">Galop </w:t>
            </w:r>
          </w:p>
        </w:tc>
        <w:tc>
          <w:tcPr>
            <w:tcW w:w="5862" w:type="dxa"/>
          </w:tcPr>
          <w:p w14:paraId="79A97AF3" w14:textId="34CB58E9" w:rsidR="00500F61" w:rsidRPr="00412994" w:rsidRDefault="00500F61" w:rsidP="00C219AF">
            <w:pPr>
              <w:jc w:val="both"/>
              <w:rPr>
                <w:rStyle w:val="Hyperlink"/>
                <w:rFonts w:eastAsiaTheme="minorEastAsia"/>
                <w:kern w:val="24"/>
                <w:szCs w:val="24"/>
                <w:lang w:val="en-US"/>
              </w:rPr>
            </w:pPr>
            <w:r w:rsidRPr="00412994">
              <w:rPr>
                <w:rStyle w:val="Hyperlink"/>
                <w:rFonts w:eastAsiaTheme="minorEastAsia"/>
                <w:kern w:val="24"/>
                <w:szCs w:val="24"/>
                <w:lang w:val="en-US"/>
              </w:rPr>
              <w:t>http://www.galop.org.uk/</w:t>
            </w:r>
          </w:p>
        </w:tc>
      </w:tr>
    </w:tbl>
    <w:p w14:paraId="412D959C" w14:textId="77777777" w:rsidR="004F2D57" w:rsidRPr="00412994" w:rsidRDefault="004F2D57" w:rsidP="00C219AF">
      <w:pPr>
        <w:spacing w:after="0" w:line="240" w:lineRule="auto"/>
        <w:jc w:val="both"/>
        <w:rPr>
          <w:rFonts w:cs="Arial"/>
        </w:rPr>
      </w:pPr>
    </w:p>
    <w:p w14:paraId="0AA22869" w14:textId="5B8681F8" w:rsidR="004F2D57" w:rsidRDefault="004F2D57" w:rsidP="00173D09">
      <w:pPr>
        <w:pStyle w:val="Heading2"/>
        <w:ind w:left="709" w:hanging="709"/>
      </w:pPr>
      <w:bookmarkStart w:id="23" w:name="_Toc181889871"/>
      <w:r w:rsidRPr="00412994">
        <w:t>References</w:t>
      </w:r>
      <w:bookmarkEnd w:id="23"/>
    </w:p>
    <w:p w14:paraId="251001C4" w14:textId="77777777" w:rsidR="00546491" w:rsidRPr="00546491" w:rsidRDefault="00546491" w:rsidP="00546491"/>
    <w:tbl>
      <w:tblPr>
        <w:tblStyle w:val="TableGrid"/>
        <w:tblW w:w="0" w:type="auto"/>
        <w:tblLook w:val="04A0" w:firstRow="1" w:lastRow="0" w:firstColumn="1" w:lastColumn="0" w:noHBand="0" w:noVBand="1"/>
      </w:tblPr>
      <w:tblGrid>
        <w:gridCol w:w="2830"/>
        <w:gridCol w:w="6186"/>
      </w:tblGrid>
      <w:tr w:rsidR="00412994" w:rsidRPr="00412994" w14:paraId="33AEFD07" w14:textId="77777777" w:rsidTr="00412994">
        <w:tc>
          <w:tcPr>
            <w:tcW w:w="2830" w:type="dxa"/>
          </w:tcPr>
          <w:p w14:paraId="665122BD" w14:textId="62D53279" w:rsidR="009212D2" w:rsidRPr="00412994" w:rsidRDefault="009212D2" w:rsidP="00C219AF">
            <w:pPr>
              <w:jc w:val="both"/>
              <w:rPr>
                <w:rFonts w:cs="Arial"/>
                <w:b/>
                <w:bCs/>
              </w:rPr>
            </w:pPr>
            <w:r w:rsidRPr="00412994">
              <w:rPr>
                <w:rFonts w:cs="Arial"/>
                <w:b/>
                <w:bCs/>
              </w:rPr>
              <w:t>Resource</w:t>
            </w:r>
          </w:p>
        </w:tc>
        <w:tc>
          <w:tcPr>
            <w:tcW w:w="6186" w:type="dxa"/>
          </w:tcPr>
          <w:p w14:paraId="51AEA2F9" w14:textId="50945C4C" w:rsidR="009212D2" w:rsidRPr="00412994" w:rsidRDefault="009212D2" w:rsidP="00C219AF">
            <w:pPr>
              <w:jc w:val="both"/>
              <w:rPr>
                <w:rFonts w:cs="Arial"/>
                <w:b/>
                <w:bCs/>
              </w:rPr>
            </w:pPr>
            <w:r w:rsidRPr="00412994">
              <w:rPr>
                <w:rFonts w:cs="Arial"/>
                <w:b/>
                <w:bCs/>
              </w:rPr>
              <w:t>Link</w:t>
            </w:r>
          </w:p>
        </w:tc>
      </w:tr>
      <w:tr w:rsidR="00412994" w:rsidRPr="00412994" w14:paraId="4D2FE609" w14:textId="77777777" w:rsidTr="00412994">
        <w:trPr>
          <w:trHeight w:val="680"/>
        </w:trPr>
        <w:tc>
          <w:tcPr>
            <w:tcW w:w="2830" w:type="dxa"/>
          </w:tcPr>
          <w:p w14:paraId="348807B5" w14:textId="3570D84A" w:rsidR="00500F61" w:rsidRPr="00412994" w:rsidRDefault="00500F61" w:rsidP="00C219AF">
            <w:pPr>
              <w:jc w:val="both"/>
              <w:rPr>
                <w:rFonts w:cs="Arial"/>
              </w:rPr>
            </w:pPr>
            <w:r w:rsidRPr="00412994">
              <w:rPr>
                <w:rFonts w:cs="Arial"/>
              </w:rPr>
              <w:t>The Equality Act 2010</w:t>
            </w:r>
          </w:p>
        </w:tc>
        <w:tc>
          <w:tcPr>
            <w:tcW w:w="6186" w:type="dxa"/>
          </w:tcPr>
          <w:p w14:paraId="619C8890" w14:textId="5837F226" w:rsidR="00500F61" w:rsidRPr="00412994" w:rsidRDefault="00546491" w:rsidP="00C219AF">
            <w:pPr>
              <w:jc w:val="both"/>
              <w:rPr>
                <w:rStyle w:val="Hyperlink"/>
                <w:rFonts w:eastAsiaTheme="minorEastAsia"/>
                <w:kern w:val="24"/>
                <w:szCs w:val="24"/>
                <w:lang w:val="en-US"/>
              </w:rPr>
            </w:pPr>
            <w:hyperlink r:id="rId34" w:history="1">
              <w:r w:rsidR="00500F61" w:rsidRPr="00412994">
                <w:rPr>
                  <w:rStyle w:val="Hyperlink"/>
                  <w:rFonts w:eastAsiaTheme="minorEastAsia"/>
                  <w:kern w:val="24"/>
                  <w:szCs w:val="24"/>
                  <w:lang w:val="en-US"/>
                </w:rPr>
                <w:t>https://www.legislation.gov.uk/ukpga/2010/15/contents</w:t>
              </w:r>
            </w:hyperlink>
          </w:p>
        </w:tc>
      </w:tr>
      <w:tr w:rsidR="00412994" w:rsidRPr="00412994" w14:paraId="270212C2" w14:textId="77777777" w:rsidTr="00412994">
        <w:trPr>
          <w:trHeight w:val="680"/>
        </w:trPr>
        <w:tc>
          <w:tcPr>
            <w:tcW w:w="2830" w:type="dxa"/>
          </w:tcPr>
          <w:p w14:paraId="0DA2B3EB" w14:textId="77777777" w:rsidR="00500F61" w:rsidRPr="00412994" w:rsidRDefault="00500F61" w:rsidP="00C219AF">
            <w:pPr>
              <w:jc w:val="both"/>
              <w:rPr>
                <w:rFonts w:cs="Arial"/>
              </w:rPr>
            </w:pPr>
            <w:r w:rsidRPr="00412994">
              <w:rPr>
                <w:rFonts w:cs="Arial"/>
              </w:rPr>
              <w:t>The Worker Protection (Amendment of Equality Act 2010) Act 2023</w:t>
            </w:r>
          </w:p>
          <w:p w14:paraId="35DD03D5" w14:textId="77777777" w:rsidR="00500F61" w:rsidRPr="00412994" w:rsidRDefault="00500F61" w:rsidP="00C219AF">
            <w:pPr>
              <w:jc w:val="both"/>
              <w:rPr>
                <w:rFonts w:cs="Arial"/>
              </w:rPr>
            </w:pPr>
            <w:r w:rsidRPr="00412994">
              <w:rPr>
                <w:rFonts w:cs="Arial"/>
              </w:rPr>
              <w:t>Section 40A</w:t>
            </w:r>
          </w:p>
          <w:p w14:paraId="520FEC71" w14:textId="4A8C90FA" w:rsidR="00500F61" w:rsidRPr="00412994" w:rsidRDefault="00500F61" w:rsidP="00C219AF">
            <w:pPr>
              <w:jc w:val="both"/>
              <w:rPr>
                <w:rFonts w:cs="Arial"/>
              </w:rPr>
            </w:pPr>
          </w:p>
        </w:tc>
        <w:tc>
          <w:tcPr>
            <w:tcW w:w="6186" w:type="dxa"/>
          </w:tcPr>
          <w:p w14:paraId="47EE9620" w14:textId="29CC4D5E" w:rsidR="00500F61" w:rsidRPr="00412994" w:rsidRDefault="00546491" w:rsidP="00C219AF">
            <w:pPr>
              <w:jc w:val="both"/>
              <w:rPr>
                <w:rStyle w:val="Hyperlink"/>
                <w:rFonts w:eastAsiaTheme="minorEastAsia"/>
                <w:kern w:val="24"/>
                <w:szCs w:val="24"/>
                <w:lang w:val="en-US"/>
              </w:rPr>
            </w:pPr>
            <w:hyperlink r:id="rId35" w:history="1">
              <w:r w:rsidR="00412994" w:rsidRPr="00F529C4">
                <w:rPr>
                  <w:rStyle w:val="Hyperlink"/>
                  <w:rFonts w:eastAsiaTheme="minorEastAsia"/>
                  <w:kern w:val="24"/>
                  <w:szCs w:val="24"/>
                  <w:lang w:val="en-US"/>
                </w:rPr>
                <w:t>https://www.legislation.gov.uk/ukpga/2023/51/notes</w:t>
              </w:r>
              <w:r w:rsidR="00412994" w:rsidRPr="00F529C4">
                <w:rPr>
                  <w:rStyle w:val="Hyperlink"/>
                  <w:rFonts w:eastAsiaTheme="minorEastAsia"/>
                  <w:kern w:val="24"/>
                  <w:szCs w:val="24"/>
                  <w:lang w:val="en-US"/>
                </w:rPr>
                <w:br/>
                <w:t>/division/6/index.htm</w:t>
              </w:r>
            </w:hyperlink>
          </w:p>
        </w:tc>
      </w:tr>
      <w:tr w:rsidR="00412994" w:rsidRPr="00412994" w14:paraId="6EAD4D6A" w14:textId="77777777" w:rsidTr="00412994">
        <w:trPr>
          <w:trHeight w:val="680"/>
        </w:trPr>
        <w:tc>
          <w:tcPr>
            <w:tcW w:w="2830" w:type="dxa"/>
          </w:tcPr>
          <w:p w14:paraId="27FE2965" w14:textId="67AF5F04" w:rsidR="009212D2" w:rsidRPr="00412994" w:rsidRDefault="009212D2" w:rsidP="00C219AF">
            <w:pPr>
              <w:jc w:val="both"/>
              <w:rPr>
                <w:rFonts w:cs="Arial"/>
              </w:rPr>
            </w:pPr>
            <w:r w:rsidRPr="00412994">
              <w:rPr>
                <w:rFonts w:cs="Arial"/>
              </w:rPr>
              <w:t>Sexual harassment and harassment at work: technical guidance | EHRC</w:t>
            </w:r>
          </w:p>
          <w:p w14:paraId="5B2DD5D3" w14:textId="77777777" w:rsidR="009212D2" w:rsidRPr="00412994" w:rsidRDefault="009212D2" w:rsidP="00C219AF">
            <w:pPr>
              <w:jc w:val="both"/>
              <w:rPr>
                <w:rFonts w:cs="Arial"/>
              </w:rPr>
            </w:pPr>
          </w:p>
        </w:tc>
        <w:tc>
          <w:tcPr>
            <w:tcW w:w="6186" w:type="dxa"/>
          </w:tcPr>
          <w:p w14:paraId="09F1DDA1" w14:textId="75CC9EBB" w:rsidR="009212D2" w:rsidRPr="00412994" w:rsidRDefault="00546491" w:rsidP="00C219AF">
            <w:pPr>
              <w:jc w:val="both"/>
              <w:rPr>
                <w:rStyle w:val="Hyperlink"/>
                <w:rFonts w:eastAsiaTheme="minorEastAsia"/>
                <w:kern w:val="24"/>
                <w:szCs w:val="24"/>
                <w:lang w:val="en-US"/>
              </w:rPr>
            </w:pPr>
            <w:hyperlink r:id="rId36" w:history="1">
              <w:r w:rsidR="00500F61" w:rsidRPr="00412994">
                <w:rPr>
                  <w:rStyle w:val="Hyperlink"/>
                  <w:rFonts w:eastAsiaTheme="minorEastAsia"/>
                  <w:kern w:val="24"/>
                  <w:szCs w:val="24"/>
                  <w:lang w:val="en-US"/>
                </w:rPr>
                <w:t>https://www.equalityhumanrights.com/guidance/sexual-harassment-and-harassment-work-technical-guidance</w:t>
              </w:r>
            </w:hyperlink>
          </w:p>
          <w:p w14:paraId="0870E928" w14:textId="5CF7C78D" w:rsidR="00500F61" w:rsidRPr="00412994" w:rsidRDefault="00500F61" w:rsidP="00C219AF">
            <w:pPr>
              <w:jc w:val="both"/>
              <w:rPr>
                <w:rStyle w:val="Hyperlink"/>
                <w:rFonts w:eastAsiaTheme="minorEastAsia"/>
                <w:kern w:val="24"/>
                <w:szCs w:val="24"/>
                <w:lang w:val="en-US"/>
              </w:rPr>
            </w:pPr>
          </w:p>
        </w:tc>
      </w:tr>
      <w:tr w:rsidR="00412994" w:rsidRPr="00412994" w14:paraId="140D246E" w14:textId="77777777" w:rsidTr="00412994">
        <w:trPr>
          <w:trHeight w:val="680"/>
        </w:trPr>
        <w:tc>
          <w:tcPr>
            <w:tcW w:w="2830" w:type="dxa"/>
          </w:tcPr>
          <w:p w14:paraId="097FC9F5" w14:textId="68551B87" w:rsidR="009212D2" w:rsidRPr="00412994" w:rsidRDefault="00412994" w:rsidP="00C219AF">
            <w:pPr>
              <w:jc w:val="both"/>
              <w:rPr>
                <w:rFonts w:cs="Arial"/>
              </w:rPr>
            </w:pPr>
            <w:r w:rsidRPr="00412994">
              <w:rPr>
                <w:rFonts w:cs="Arial"/>
              </w:rPr>
              <w:t>European Commission’s Code of Practice 1991 on Sexual Harassment</w:t>
            </w:r>
          </w:p>
        </w:tc>
        <w:tc>
          <w:tcPr>
            <w:tcW w:w="6186" w:type="dxa"/>
          </w:tcPr>
          <w:p w14:paraId="5422C840" w14:textId="1FDADD28" w:rsidR="009212D2" w:rsidRPr="00412994" w:rsidRDefault="00546491" w:rsidP="00C219AF">
            <w:pPr>
              <w:jc w:val="both"/>
              <w:rPr>
                <w:rStyle w:val="Hyperlink"/>
                <w:rFonts w:eastAsiaTheme="minorEastAsia"/>
                <w:kern w:val="24"/>
                <w:szCs w:val="24"/>
                <w:lang w:val="en-US"/>
              </w:rPr>
            </w:pPr>
            <w:hyperlink r:id="rId37" w:history="1">
              <w:r w:rsidR="00412994" w:rsidRPr="00412994">
                <w:rPr>
                  <w:rStyle w:val="Hyperlink"/>
                  <w:rFonts w:eastAsiaTheme="minorEastAsia"/>
                  <w:kern w:val="24"/>
                  <w:szCs w:val="24"/>
                  <w:lang w:val="en-US"/>
                </w:rPr>
                <w:t>https://eur-lex.europa.eu/legal-content/EN/TXT/?uri=CELEX%3A31992H0131</w:t>
              </w:r>
            </w:hyperlink>
          </w:p>
          <w:p w14:paraId="06736598" w14:textId="58753A36" w:rsidR="00412994" w:rsidRPr="00412994" w:rsidRDefault="00412994" w:rsidP="00C219AF">
            <w:pPr>
              <w:jc w:val="both"/>
              <w:rPr>
                <w:rStyle w:val="Hyperlink"/>
                <w:rFonts w:eastAsiaTheme="minorEastAsia"/>
                <w:kern w:val="24"/>
                <w:szCs w:val="24"/>
                <w:lang w:val="en-US"/>
              </w:rPr>
            </w:pPr>
          </w:p>
        </w:tc>
      </w:tr>
    </w:tbl>
    <w:p w14:paraId="006541B7" w14:textId="77777777" w:rsidR="009212D2" w:rsidRPr="00412994" w:rsidRDefault="009212D2" w:rsidP="00C219AF">
      <w:pPr>
        <w:spacing w:after="0" w:line="240" w:lineRule="auto"/>
        <w:jc w:val="both"/>
        <w:rPr>
          <w:rFonts w:cs="Arial"/>
        </w:rPr>
      </w:pPr>
    </w:p>
    <w:sectPr w:rsidR="009212D2" w:rsidRPr="00412994" w:rsidSect="009C2CEA">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968B" w14:textId="77777777" w:rsidR="000A0C60" w:rsidRDefault="000A0C60" w:rsidP="008D758E">
      <w:pPr>
        <w:spacing w:after="0" w:line="240" w:lineRule="auto"/>
      </w:pPr>
      <w:r>
        <w:separator/>
      </w:r>
    </w:p>
  </w:endnote>
  <w:endnote w:type="continuationSeparator" w:id="0">
    <w:p w14:paraId="08206FA0" w14:textId="77777777" w:rsidR="000A0C60" w:rsidRDefault="000A0C60" w:rsidP="008D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745512"/>
      <w:docPartObj>
        <w:docPartGallery w:val="Page Numbers (Bottom of Page)"/>
        <w:docPartUnique/>
      </w:docPartObj>
    </w:sdtPr>
    <w:sdtEndPr>
      <w:rPr>
        <w:noProof/>
      </w:rPr>
    </w:sdtEndPr>
    <w:sdtContent>
      <w:p w14:paraId="33C6BCB1" w14:textId="77777777" w:rsidR="008D758E" w:rsidRDefault="008D758E">
        <w:pPr>
          <w:pStyle w:val="Footer"/>
          <w:jc w:val="center"/>
        </w:pPr>
        <w:r>
          <w:fldChar w:fldCharType="begin"/>
        </w:r>
        <w:r>
          <w:instrText xml:space="preserve"> PAGE   \* MERGEFORMAT </w:instrText>
        </w:r>
        <w:r>
          <w:fldChar w:fldCharType="separate"/>
        </w:r>
        <w:r w:rsidR="002C4E99">
          <w:rPr>
            <w:noProof/>
          </w:rPr>
          <w:t>13</w:t>
        </w:r>
        <w:r>
          <w:rPr>
            <w:noProof/>
          </w:rPr>
          <w:fldChar w:fldCharType="end"/>
        </w:r>
      </w:p>
    </w:sdtContent>
  </w:sdt>
  <w:p w14:paraId="6A41B26E" w14:textId="77777777" w:rsidR="008D758E" w:rsidRDefault="008D7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4E4D" w14:textId="77777777" w:rsidR="000A0C60" w:rsidRDefault="000A0C60" w:rsidP="008D758E">
      <w:pPr>
        <w:spacing w:after="0" w:line="240" w:lineRule="auto"/>
      </w:pPr>
      <w:r>
        <w:separator/>
      </w:r>
    </w:p>
  </w:footnote>
  <w:footnote w:type="continuationSeparator" w:id="0">
    <w:p w14:paraId="06086309" w14:textId="77777777" w:rsidR="000A0C60" w:rsidRDefault="000A0C60" w:rsidP="008D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A2E"/>
    <w:multiLevelType w:val="hybridMultilevel"/>
    <w:tmpl w:val="ED269290"/>
    <w:lvl w:ilvl="0" w:tplc="0E145030">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018A3908"/>
    <w:multiLevelType w:val="hybridMultilevel"/>
    <w:tmpl w:val="3ADC8C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837663"/>
    <w:multiLevelType w:val="hybridMultilevel"/>
    <w:tmpl w:val="F8CE9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A51221"/>
    <w:multiLevelType w:val="hybridMultilevel"/>
    <w:tmpl w:val="3C120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082FF8"/>
    <w:multiLevelType w:val="multilevel"/>
    <w:tmpl w:val="CA6E9C0C"/>
    <w:lvl w:ilvl="0">
      <w:start w:val="1"/>
      <w:numFmt w:val="decimal"/>
      <w:lvlText w:val="%1."/>
      <w:lvlJc w:val="left"/>
      <w:pPr>
        <w:ind w:left="360" w:hanging="360"/>
      </w:pPr>
      <w:rPr>
        <w:rFonts w:hint="default"/>
      </w:rPr>
    </w:lvl>
    <w:lvl w:ilvl="1">
      <w:start w:val="13"/>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F23461"/>
    <w:multiLevelType w:val="multilevel"/>
    <w:tmpl w:val="066C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FE713E"/>
    <w:multiLevelType w:val="hybridMultilevel"/>
    <w:tmpl w:val="6CFA388C"/>
    <w:lvl w:ilvl="0" w:tplc="29482D0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1305BD"/>
    <w:multiLevelType w:val="hybridMultilevel"/>
    <w:tmpl w:val="9F6428D0"/>
    <w:lvl w:ilvl="0" w:tplc="29482D06">
      <w:start w:val="1"/>
      <w:numFmt w:val="decimal"/>
      <w:lvlText w:val="%1)"/>
      <w:lvlJc w:val="left"/>
      <w:pPr>
        <w:tabs>
          <w:tab w:val="num" w:pos="720"/>
        </w:tabs>
        <w:ind w:left="720" w:hanging="360"/>
      </w:pPr>
    </w:lvl>
    <w:lvl w:ilvl="1" w:tplc="BF942C66">
      <w:start w:val="1"/>
      <w:numFmt w:val="lowerLetter"/>
      <w:lvlText w:val="%2)"/>
      <w:lvlJc w:val="left"/>
      <w:pPr>
        <w:tabs>
          <w:tab w:val="num" w:pos="1440"/>
        </w:tabs>
        <w:ind w:left="1440" w:hanging="360"/>
      </w:pPr>
    </w:lvl>
    <w:lvl w:ilvl="2" w:tplc="AA344122">
      <w:start w:val="1"/>
      <w:numFmt w:val="lowerRoman"/>
      <w:lvlText w:val="%3."/>
      <w:lvlJc w:val="right"/>
      <w:pPr>
        <w:tabs>
          <w:tab w:val="num" w:pos="2160"/>
        </w:tabs>
        <w:ind w:left="2160" w:hanging="360"/>
      </w:pPr>
    </w:lvl>
    <w:lvl w:ilvl="3" w:tplc="3E6AD466" w:tentative="1">
      <w:start w:val="1"/>
      <w:numFmt w:val="decimal"/>
      <w:lvlText w:val="%4)"/>
      <w:lvlJc w:val="left"/>
      <w:pPr>
        <w:tabs>
          <w:tab w:val="num" w:pos="2880"/>
        </w:tabs>
        <w:ind w:left="2880" w:hanging="360"/>
      </w:pPr>
    </w:lvl>
    <w:lvl w:ilvl="4" w:tplc="D45C4B20" w:tentative="1">
      <w:start w:val="1"/>
      <w:numFmt w:val="decimal"/>
      <w:lvlText w:val="%5)"/>
      <w:lvlJc w:val="left"/>
      <w:pPr>
        <w:tabs>
          <w:tab w:val="num" w:pos="3600"/>
        </w:tabs>
        <w:ind w:left="3600" w:hanging="360"/>
      </w:pPr>
    </w:lvl>
    <w:lvl w:ilvl="5" w:tplc="7AC8C876" w:tentative="1">
      <w:start w:val="1"/>
      <w:numFmt w:val="decimal"/>
      <w:lvlText w:val="%6)"/>
      <w:lvlJc w:val="left"/>
      <w:pPr>
        <w:tabs>
          <w:tab w:val="num" w:pos="4320"/>
        </w:tabs>
        <w:ind w:left="4320" w:hanging="360"/>
      </w:pPr>
    </w:lvl>
    <w:lvl w:ilvl="6" w:tplc="09E87852" w:tentative="1">
      <w:start w:val="1"/>
      <w:numFmt w:val="decimal"/>
      <w:lvlText w:val="%7)"/>
      <w:lvlJc w:val="left"/>
      <w:pPr>
        <w:tabs>
          <w:tab w:val="num" w:pos="5040"/>
        </w:tabs>
        <w:ind w:left="5040" w:hanging="360"/>
      </w:pPr>
    </w:lvl>
    <w:lvl w:ilvl="7" w:tplc="88441450" w:tentative="1">
      <w:start w:val="1"/>
      <w:numFmt w:val="decimal"/>
      <w:lvlText w:val="%8)"/>
      <w:lvlJc w:val="left"/>
      <w:pPr>
        <w:tabs>
          <w:tab w:val="num" w:pos="5760"/>
        </w:tabs>
        <w:ind w:left="5760" w:hanging="360"/>
      </w:pPr>
    </w:lvl>
    <w:lvl w:ilvl="8" w:tplc="90ACBE66" w:tentative="1">
      <w:start w:val="1"/>
      <w:numFmt w:val="decimal"/>
      <w:lvlText w:val="%9)"/>
      <w:lvlJc w:val="left"/>
      <w:pPr>
        <w:tabs>
          <w:tab w:val="num" w:pos="6480"/>
        </w:tabs>
        <w:ind w:left="6480" w:hanging="360"/>
      </w:pPr>
    </w:lvl>
  </w:abstractNum>
  <w:abstractNum w:abstractNumId="8" w15:restartNumberingAfterBreak="0">
    <w:nsid w:val="09B345BC"/>
    <w:multiLevelType w:val="multilevel"/>
    <w:tmpl w:val="17F09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317D00"/>
    <w:multiLevelType w:val="hybridMultilevel"/>
    <w:tmpl w:val="903C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F21268A"/>
    <w:multiLevelType w:val="multilevel"/>
    <w:tmpl w:val="41BAF2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B54FC2"/>
    <w:multiLevelType w:val="multilevel"/>
    <w:tmpl w:val="73DE9570"/>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03B560D"/>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15382BBE"/>
    <w:multiLevelType w:val="hybridMultilevel"/>
    <w:tmpl w:val="B35C6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B264B"/>
    <w:multiLevelType w:val="hybridMultilevel"/>
    <w:tmpl w:val="7F7A0028"/>
    <w:lvl w:ilvl="0" w:tplc="EDA6B552">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79269B"/>
    <w:multiLevelType w:val="multilevel"/>
    <w:tmpl w:val="41BAF2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D47090"/>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ED6318B"/>
    <w:multiLevelType w:val="hybridMultilevel"/>
    <w:tmpl w:val="A68A6FF0"/>
    <w:lvl w:ilvl="0" w:tplc="E8745CB4">
      <w:start w:val="2"/>
      <w:numFmt w:val="decimal"/>
      <w:lvlText w:val="(%1)"/>
      <w:lvlJc w:val="left"/>
      <w:pPr>
        <w:ind w:left="360" w:hanging="360"/>
      </w:pPr>
      <w:rPr>
        <w:rFonts w:hint="default"/>
      </w:rPr>
    </w:lvl>
    <w:lvl w:ilvl="1" w:tplc="08090017">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8F41A7"/>
    <w:multiLevelType w:val="hybridMultilevel"/>
    <w:tmpl w:val="A8FEA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9096BC6"/>
    <w:multiLevelType w:val="hybridMultilevel"/>
    <w:tmpl w:val="B9B61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CB18FC"/>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2ACF0A7C"/>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301A0FFD"/>
    <w:multiLevelType w:val="hybridMultilevel"/>
    <w:tmpl w:val="CDF25A98"/>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Calibri" w:hAnsi="Calibri" w:hint="default"/>
      </w:rPr>
    </w:lvl>
    <w:lvl w:ilvl="2" w:tplc="FFFFFFFF" w:tentative="1">
      <w:start w:val="1"/>
      <w:numFmt w:val="bullet"/>
      <w:lvlText w:val="-"/>
      <w:lvlJc w:val="left"/>
      <w:pPr>
        <w:tabs>
          <w:tab w:val="num" w:pos="1800"/>
        </w:tabs>
        <w:ind w:left="1800" w:hanging="360"/>
      </w:pPr>
      <w:rPr>
        <w:rFonts w:ascii="Calibri" w:hAnsi="Calibri" w:hint="default"/>
      </w:rPr>
    </w:lvl>
    <w:lvl w:ilvl="3" w:tplc="FFFFFFFF" w:tentative="1">
      <w:start w:val="1"/>
      <w:numFmt w:val="bullet"/>
      <w:lvlText w:val="-"/>
      <w:lvlJc w:val="left"/>
      <w:pPr>
        <w:tabs>
          <w:tab w:val="num" w:pos="2520"/>
        </w:tabs>
        <w:ind w:left="2520" w:hanging="360"/>
      </w:pPr>
      <w:rPr>
        <w:rFonts w:ascii="Calibri" w:hAnsi="Calibri" w:hint="default"/>
      </w:rPr>
    </w:lvl>
    <w:lvl w:ilvl="4" w:tplc="FFFFFFFF" w:tentative="1">
      <w:start w:val="1"/>
      <w:numFmt w:val="bullet"/>
      <w:lvlText w:val="-"/>
      <w:lvlJc w:val="left"/>
      <w:pPr>
        <w:tabs>
          <w:tab w:val="num" w:pos="3240"/>
        </w:tabs>
        <w:ind w:left="3240" w:hanging="360"/>
      </w:pPr>
      <w:rPr>
        <w:rFonts w:ascii="Calibri" w:hAnsi="Calibri" w:hint="default"/>
      </w:rPr>
    </w:lvl>
    <w:lvl w:ilvl="5" w:tplc="FFFFFFFF" w:tentative="1">
      <w:start w:val="1"/>
      <w:numFmt w:val="bullet"/>
      <w:lvlText w:val="-"/>
      <w:lvlJc w:val="left"/>
      <w:pPr>
        <w:tabs>
          <w:tab w:val="num" w:pos="3960"/>
        </w:tabs>
        <w:ind w:left="3960" w:hanging="360"/>
      </w:pPr>
      <w:rPr>
        <w:rFonts w:ascii="Calibri" w:hAnsi="Calibri" w:hint="default"/>
      </w:rPr>
    </w:lvl>
    <w:lvl w:ilvl="6" w:tplc="FFFFFFFF" w:tentative="1">
      <w:start w:val="1"/>
      <w:numFmt w:val="bullet"/>
      <w:lvlText w:val="-"/>
      <w:lvlJc w:val="left"/>
      <w:pPr>
        <w:tabs>
          <w:tab w:val="num" w:pos="4680"/>
        </w:tabs>
        <w:ind w:left="4680" w:hanging="360"/>
      </w:pPr>
      <w:rPr>
        <w:rFonts w:ascii="Calibri" w:hAnsi="Calibri" w:hint="default"/>
      </w:rPr>
    </w:lvl>
    <w:lvl w:ilvl="7" w:tplc="FFFFFFFF" w:tentative="1">
      <w:start w:val="1"/>
      <w:numFmt w:val="bullet"/>
      <w:lvlText w:val="-"/>
      <w:lvlJc w:val="left"/>
      <w:pPr>
        <w:tabs>
          <w:tab w:val="num" w:pos="5400"/>
        </w:tabs>
        <w:ind w:left="5400" w:hanging="360"/>
      </w:pPr>
      <w:rPr>
        <w:rFonts w:ascii="Calibri" w:hAnsi="Calibri" w:hint="default"/>
      </w:rPr>
    </w:lvl>
    <w:lvl w:ilvl="8" w:tplc="FFFFFFFF" w:tentative="1">
      <w:start w:val="1"/>
      <w:numFmt w:val="bullet"/>
      <w:lvlText w:val="-"/>
      <w:lvlJc w:val="left"/>
      <w:pPr>
        <w:tabs>
          <w:tab w:val="num" w:pos="6120"/>
        </w:tabs>
        <w:ind w:left="6120" w:hanging="360"/>
      </w:pPr>
      <w:rPr>
        <w:rFonts w:ascii="Calibri" w:hAnsi="Calibri" w:hint="default"/>
      </w:rPr>
    </w:lvl>
  </w:abstractNum>
  <w:abstractNum w:abstractNumId="23" w15:restartNumberingAfterBreak="0">
    <w:nsid w:val="30A5638E"/>
    <w:multiLevelType w:val="hybridMultilevel"/>
    <w:tmpl w:val="06706A84"/>
    <w:lvl w:ilvl="0" w:tplc="C37E3C1C">
      <w:start w:val="1"/>
      <w:numFmt w:val="bullet"/>
      <w:lvlText w:val="•"/>
      <w:lvlJc w:val="left"/>
      <w:pPr>
        <w:tabs>
          <w:tab w:val="num" w:pos="720"/>
        </w:tabs>
        <w:ind w:left="720" w:hanging="360"/>
      </w:pPr>
      <w:rPr>
        <w:rFonts w:ascii="Arial" w:hAnsi="Arial" w:hint="default"/>
      </w:rPr>
    </w:lvl>
    <w:lvl w:ilvl="1" w:tplc="718A5E2A" w:tentative="1">
      <w:start w:val="1"/>
      <w:numFmt w:val="bullet"/>
      <w:lvlText w:val="•"/>
      <w:lvlJc w:val="left"/>
      <w:pPr>
        <w:tabs>
          <w:tab w:val="num" w:pos="1440"/>
        </w:tabs>
        <w:ind w:left="1440" w:hanging="360"/>
      </w:pPr>
      <w:rPr>
        <w:rFonts w:ascii="Arial" w:hAnsi="Arial" w:hint="default"/>
      </w:rPr>
    </w:lvl>
    <w:lvl w:ilvl="2" w:tplc="C6961056" w:tentative="1">
      <w:start w:val="1"/>
      <w:numFmt w:val="bullet"/>
      <w:lvlText w:val="•"/>
      <w:lvlJc w:val="left"/>
      <w:pPr>
        <w:tabs>
          <w:tab w:val="num" w:pos="2160"/>
        </w:tabs>
        <w:ind w:left="2160" w:hanging="360"/>
      </w:pPr>
      <w:rPr>
        <w:rFonts w:ascii="Arial" w:hAnsi="Arial" w:hint="default"/>
      </w:rPr>
    </w:lvl>
    <w:lvl w:ilvl="3" w:tplc="0FC44A1A" w:tentative="1">
      <w:start w:val="1"/>
      <w:numFmt w:val="bullet"/>
      <w:lvlText w:val="•"/>
      <w:lvlJc w:val="left"/>
      <w:pPr>
        <w:tabs>
          <w:tab w:val="num" w:pos="2880"/>
        </w:tabs>
        <w:ind w:left="2880" w:hanging="360"/>
      </w:pPr>
      <w:rPr>
        <w:rFonts w:ascii="Arial" w:hAnsi="Arial" w:hint="default"/>
      </w:rPr>
    </w:lvl>
    <w:lvl w:ilvl="4" w:tplc="324E478E" w:tentative="1">
      <w:start w:val="1"/>
      <w:numFmt w:val="bullet"/>
      <w:lvlText w:val="•"/>
      <w:lvlJc w:val="left"/>
      <w:pPr>
        <w:tabs>
          <w:tab w:val="num" w:pos="3600"/>
        </w:tabs>
        <w:ind w:left="3600" w:hanging="360"/>
      </w:pPr>
      <w:rPr>
        <w:rFonts w:ascii="Arial" w:hAnsi="Arial" w:hint="default"/>
      </w:rPr>
    </w:lvl>
    <w:lvl w:ilvl="5" w:tplc="6D3E7AF0" w:tentative="1">
      <w:start w:val="1"/>
      <w:numFmt w:val="bullet"/>
      <w:lvlText w:val="•"/>
      <w:lvlJc w:val="left"/>
      <w:pPr>
        <w:tabs>
          <w:tab w:val="num" w:pos="4320"/>
        </w:tabs>
        <w:ind w:left="4320" w:hanging="360"/>
      </w:pPr>
      <w:rPr>
        <w:rFonts w:ascii="Arial" w:hAnsi="Arial" w:hint="default"/>
      </w:rPr>
    </w:lvl>
    <w:lvl w:ilvl="6" w:tplc="CB5C0D76" w:tentative="1">
      <w:start w:val="1"/>
      <w:numFmt w:val="bullet"/>
      <w:lvlText w:val="•"/>
      <w:lvlJc w:val="left"/>
      <w:pPr>
        <w:tabs>
          <w:tab w:val="num" w:pos="5040"/>
        </w:tabs>
        <w:ind w:left="5040" w:hanging="360"/>
      </w:pPr>
      <w:rPr>
        <w:rFonts w:ascii="Arial" w:hAnsi="Arial" w:hint="default"/>
      </w:rPr>
    </w:lvl>
    <w:lvl w:ilvl="7" w:tplc="A364AF2C" w:tentative="1">
      <w:start w:val="1"/>
      <w:numFmt w:val="bullet"/>
      <w:lvlText w:val="•"/>
      <w:lvlJc w:val="left"/>
      <w:pPr>
        <w:tabs>
          <w:tab w:val="num" w:pos="5760"/>
        </w:tabs>
        <w:ind w:left="5760" w:hanging="360"/>
      </w:pPr>
      <w:rPr>
        <w:rFonts w:ascii="Arial" w:hAnsi="Arial" w:hint="default"/>
      </w:rPr>
    </w:lvl>
    <w:lvl w:ilvl="8" w:tplc="BD62EA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2867A21"/>
    <w:multiLevelType w:val="hybridMultilevel"/>
    <w:tmpl w:val="1AD4A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311587D"/>
    <w:multiLevelType w:val="multilevel"/>
    <w:tmpl w:val="41BAF2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7475C5"/>
    <w:multiLevelType w:val="multilevel"/>
    <w:tmpl w:val="41BAF2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6F0ACA"/>
    <w:multiLevelType w:val="multilevel"/>
    <w:tmpl w:val="41BAF21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DA59E2"/>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37EA418C"/>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4D1265CD"/>
    <w:multiLevelType w:val="hybridMultilevel"/>
    <w:tmpl w:val="7382A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987735"/>
    <w:multiLevelType w:val="hybridMultilevel"/>
    <w:tmpl w:val="EDC0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04E73"/>
    <w:multiLevelType w:val="hybridMultilevel"/>
    <w:tmpl w:val="CFFEB9C2"/>
    <w:lvl w:ilvl="0" w:tplc="F0D4933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E23F85"/>
    <w:multiLevelType w:val="multilevel"/>
    <w:tmpl w:val="17125E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3730B02"/>
    <w:multiLevelType w:val="hybridMultilevel"/>
    <w:tmpl w:val="FCB43C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91F17CD"/>
    <w:multiLevelType w:val="hybridMultilevel"/>
    <w:tmpl w:val="A79A340C"/>
    <w:lvl w:ilvl="0" w:tplc="0E88CCF8">
      <w:start w:val="1"/>
      <w:numFmt w:val="bullet"/>
      <w:lvlText w:val="•"/>
      <w:lvlJc w:val="left"/>
      <w:pPr>
        <w:tabs>
          <w:tab w:val="num" w:pos="720"/>
        </w:tabs>
        <w:ind w:left="720" w:hanging="360"/>
      </w:pPr>
      <w:rPr>
        <w:rFonts w:ascii="Arial" w:hAnsi="Arial" w:hint="default"/>
      </w:rPr>
    </w:lvl>
    <w:lvl w:ilvl="1" w:tplc="F1305630" w:tentative="1">
      <w:start w:val="1"/>
      <w:numFmt w:val="bullet"/>
      <w:lvlText w:val="•"/>
      <w:lvlJc w:val="left"/>
      <w:pPr>
        <w:tabs>
          <w:tab w:val="num" w:pos="1440"/>
        </w:tabs>
        <w:ind w:left="1440" w:hanging="360"/>
      </w:pPr>
      <w:rPr>
        <w:rFonts w:ascii="Arial" w:hAnsi="Arial" w:hint="default"/>
      </w:rPr>
    </w:lvl>
    <w:lvl w:ilvl="2" w:tplc="D65AB7BE" w:tentative="1">
      <w:start w:val="1"/>
      <w:numFmt w:val="bullet"/>
      <w:lvlText w:val="•"/>
      <w:lvlJc w:val="left"/>
      <w:pPr>
        <w:tabs>
          <w:tab w:val="num" w:pos="2160"/>
        </w:tabs>
        <w:ind w:left="2160" w:hanging="360"/>
      </w:pPr>
      <w:rPr>
        <w:rFonts w:ascii="Arial" w:hAnsi="Arial" w:hint="default"/>
      </w:rPr>
    </w:lvl>
    <w:lvl w:ilvl="3" w:tplc="9D0C7612" w:tentative="1">
      <w:start w:val="1"/>
      <w:numFmt w:val="bullet"/>
      <w:lvlText w:val="•"/>
      <w:lvlJc w:val="left"/>
      <w:pPr>
        <w:tabs>
          <w:tab w:val="num" w:pos="2880"/>
        </w:tabs>
        <w:ind w:left="2880" w:hanging="360"/>
      </w:pPr>
      <w:rPr>
        <w:rFonts w:ascii="Arial" w:hAnsi="Arial" w:hint="default"/>
      </w:rPr>
    </w:lvl>
    <w:lvl w:ilvl="4" w:tplc="05D07686" w:tentative="1">
      <w:start w:val="1"/>
      <w:numFmt w:val="bullet"/>
      <w:lvlText w:val="•"/>
      <w:lvlJc w:val="left"/>
      <w:pPr>
        <w:tabs>
          <w:tab w:val="num" w:pos="3600"/>
        </w:tabs>
        <w:ind w:left="3600" w:hanging="360"/>
      </w:pPr>
      <w:rPr>
        <w:rFonts w:ascii="Arial" w:hAnsi="Arial" w:hint="default"/>
      </w:rPr>
    </w:lvl>
    <w:lvl w:ilvl="5" w:tplc="971A6A72" w:tentative="1">
      <w:start w:val="1"/>
      <w:numFmt w:val="bullet"/>
      <w:lvlText w:val="•"/>
      <w:lvlJc w:val="left"/>
      <w:pPr>
        <w:tabs>
          <w:tab w:val="num" w:pos="4320"/>
        </w:tabs>
        <w:ind w:left="4320" w:hanging="360"/>
      </w:pPr>
      <w:rPr>
        <w:rFonts w:ascii="Arial" w:hAnsi="Arial" w:hint="default"/>
      </w:rPr>
    </w:lvl>
    <w:lvl w:ilvl="6" w:tplc="0C161C98" w:tentative="1">
      <w:start w:val="1"/>
      <w:numFmt w:val="bullet"/>
      <w:lvlText w:val="•"/>
      <w:lvlJc w:val="left"/>
      <w:pPr>
        <w:tabs>
          <w:tab w:val="num" w:pos="5040"/>
        </w:tabs>
        <w:ind w:left="5040" w:hanging="360"/>
      </w:pPr>
      <w:rPr>
        <w:rFonts w:ascii="Arial" w:hAnsi="Arial" w:hint="default"/>
      </w:rPr>
    </w:lvl>
    <w:lvl w:ilvl="7" w:tplc="7C94D1DA" w:tentative="1">
      <w:start w:val="1"/>
      <w:numFmt w:val="bullet"/>
      <w:lvlText w:val="•"/>
      <w:lvlJc w:val="left"/>
      <w:pPr>
        <w:tabs>
          <w:tab w:val="num" w:pos="5760"/>
        </w:tabs>
        <w:ind w:left="5760" w:hanging="360"/>
      </w:pPr>
      <w:rPr>
        <w:rFonts w:ascii="Arial" w:hAnsi="Arial" w:hint="default"/>
      </w:rPr>
    </w:lvl>
    <w:lvl w:ilvl="8" w:tplc="4928ECB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4537C8"/>
    <w:multiLevelType w:val="multilevel"/>
    <w:tmpl w:val="2018A9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F81CF8"/>
    <w:multiLevelType w:val="hybridMultilevel"/>
    <w:tmpl w:val="CAB6511E"/>
    <w:lvl w:ilvl="0" w:tplc="29482D06">
      <w:start w:val="1"/>
      <w:numFmt w:val="decimal"/>
      <w:lvlText w:val="%1)"/>
      <w:lvlJc w:val="left"/>
      <w:pPr>
        <w:ind w:left="720" w:hanging="360"/>
      </w:pPr>
    </w:lvl>
    <w:lvl w:ilvl="1" w:tplc="08090017">
      <w:start w:val="1"/>
      <w:numFmt w:val="lowerLetter"/>
      <w:lvlText w:val="%2)"/>
      <w:lvlJc w:val="left"/>
      <w:pPr>
        <w:ind w:left="92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B61B29"/>
    <w:multiLevelType w:val="multilevel"/>
    <w:tmpl w:val="41BAF21A"/>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440" w:hanging="720"/>
      </w:pPr>
      <w:rPr>
        <w:rFonts w:ascii="Arial" w:eastAsiaTheme="minorHAnsi" w:hAnsi="Arial" w:cs="Arial"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215357362">
    <w:abstractNumId w:val="11"/>
  </w:num>
  <w:num w:numId="2" w16cid:durableId="965232918">
    <w:abstractNumId w:val="9"/>
  </w:num>
  <w:num w:numId="3" w16cid:durableId="1589342338">
    <w:abstractNumId w:val="1"/>
  </w:num>
  <w:num w:numId="4" w16cid:durableId="1571038928">
    <w:abstractNumId w:val="24"/>
  </w:num>
  <w:num w:numId="5" w16cid:durableId="1680040644">
    <w:abstractNumId w:val="7"/>
  </w:num>
  <w:num w:numId="6" w16cid:durableId="1454593074">
    <w:abstractNumId w:val="4"/>
  </w:num>
  <w:num w:numId="7" w16cid:durableId="1877235176">
    <w:abstractNumId w:val="23"/>
  </w:num>
  <w:num w:numId="8" w16cid:durableId="75171899">
    <w:abstractNumId w:val="35"/>
  </w:num>
  <w:num w:numId="9" w16cid:durableId="1486973552">
    <w:abstractNumId w:val="33"/>
  </w:num>
  <w:num w:numId="10" w16cid:durableId="594629198">
    <w:abstractNumId w:val="8"/>
  </w:num>
  <w:num w:numId="11" w16cid:durableId="827554449">
    <w:abstractNumId w:val="34"/>
  </w:num>
  <w:num w:numId="12" w16cid:durableId="466357134">
    <w:abstractNumId w:val="22"/>
  </w:num>
  <w:num w:numId="13" w16cid:durableId="993293370">
    <w:abstractNumId w:val="36"/>
  </w:num>
  <w:num w:numId="14" w16cid:durableId="893003453">
    <w:abstractNumId w:val="14"/>
  </w:num>
  <w:num w:numId="15" w16cid:durableId="1723747957">
    <w:abstractNumId w:val="17"/>
  </w:num>
  <w:num w:numId="16" w16cid:durableId="863637141">
    <w:abstractNumId w:val="5"/>
  </w:num>
  <w:num w:numId="17" w16cid:durableId="1532768134">
    <w:abstractNumId w:val="32"/>
  </w:num>
  <w:num w:numId="18" w16cid:durableId="1330524368">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3058884">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9457761">
    <w:abstractNumId w:val="6"/>
  </w:num>
  <w:num w:numId="21" w16cid:durableId="1597905247">
    <w:abstractNumId w:val="37"/>
  </w:num>
  <w:num w:numId="22" w16cid:durableId="726104454">
    <w:abstractNumId w:val="0"/>
  </w:num>
  <w:num w:numId="23" w16cid:durableId="1248884275">
    <w:abstractNumId w:val="25"/>
  </w:num>
  <w:num w:numId="24" w16cid:durableId="1985161324">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9388680">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8320428">
    <w:abstractNumId w:val="31"/>
  </w:num>
  <w:num w:numId="27" w16cid:durableId="1583102783">
    <w:abstractNumId w:val="18"/>
  </w:num>
  <w:num w:numId="28" w16cid:durableId="1160847016">
    <w:abstractNumId w:val="30"/>
  </w:num>
  <w:num w:numId="29" w16cid:durableId="367489611">
    <w:abstractNumId w:val="2"/>
  </w:num>
  <w:num w:numId="30" w16cid:durableId="925455478">
    <w:abstractNumId w:val="3"/>
  </w:num>
  <w:num w:numId="31" w16cid:durableId="1353919746">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3301818">
    <w:abstractNumId w:val="13"/>
  </w:num>
  <w:num w:numId="33" w16cid:durableId="359018970">
    <w:abstractNumId w:val="19"/>
  </w:num>
  <w:num w:numId="34" w16cid:durableId="1182744269">
    <w:abstractNumId w:val="10"/>
  </w:num>
  <w:num w:numId="35" w16cid:durableId="1544245804">
    <w:abstractNumId w:val="16"/>
  </w:num>
  <w:num w:numId="36" w16cid:durableId="1514565943">
    <w:abstractNumId w:val="21"/>
  </w:num>
  <w:num w:numId="37" w16cid:durableId="2114205567">
    <w:abstractNumId w:val="28"/>
  </w:num>
  <w:num w:numId="38" w16cid:durableId="1853644573">
    <w:abstractNumId w:val="15"/>
  </w:num>
  <w:num w:numId="39" w16cid:durableId="657926584">
    <w:abstractNumId w:val="27"/>
  </w:num>
  <w:num w:numId="40" w16cid:durableId="899748817">
    <w:abstractNumId w:val="38"/>
  </w:num>
  <w:num w:numId="41" w16cid:durableId="1661423584">
    <w:abstractNumId w:val="12"/>
  </w:num>
  <w:num w:numId="42" w16cid:durableId="395475914">
    <w:abstractNumId w:val="29"/>
  </w:num>
  <w:num w:numId="43" w16cid:durableId="1225262264">
    <w:abstractNumId w:val="20"/>
  </w:num>
  <w:num w:numId="44" w16cid:durableId="1759211021">
    <w:abstractNumId w:val="26"/>
  </w:num>
  <w:num w:numId="45" w16cid:durableId="1381783116">
    <w:abstractNumId w:val="4"/>
  </w:num>
  <w:num w:numId="46" w16cid:durableId="203492412">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946419">
    <w:abstractNumId w:val="4"/>
  </w:num>
  <w:num w:numId="48" w16cid:durableId="2005860650">
    <w:abstractNumId w:val="11"/>
  </w:num>
  <w:num w:numId="49" w16cid:durableId="2127917795">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E"/>
    <w:rsid w:val="000523C6"/>
    <w:rsid w:val="000A0C60"/>
    <w:rsid w:val="000C1FAC"/>
    <w:rsid w:val="000C5726"/>
    <w:rsid w:val="000D27B1"/>
    <w:rsid w:val="00173D09"/>
    <w:rsid w:val="001917E6"/>
    <w:rsid w:val="001B539C"/>
    <w:rsid w:val="00285647"/>
    <w:rsid w:val="002B53C1"/>
    <w:rsid w:val="002C4E99"/>
    <w:rsid w:val="002D20EC"/>
    <w:rsid w:val="00332438"/>
    <w:rsid w:val="00336B20"/>
    <w:rsid w:val="003459B5"/>
    <w:rsid w:val="003D5754"/>
    <w:rsid w:val="00412994"/>
    <w:rsid w:val="004352FC"/>
    <w:rsid w:val="004475F9"/>
    <w:rsid w:val="004566E6"/>
    <w:rsid w:val="004F2D57"/>
    <w:rsid w:val="00500F61"/>
    <w:rsid w:val="0051735B"/>
    <w:rsid w:val="00546491"/>
    <w:rsid w:val="00693C72"/>
    <w:rsid w:val="006967C3"/>
    <w:rsid w:val="006A3375"/>
    <w:rsid w:val="007A136B"/>
    <w:rsid w:val="007E086E"/>
    <w:rsid w:val="00862718"/>
    <w:rsid w:val="008D758E"/>
    <w:rsid w:val="009142F8"/>
    <w:rsid w:val="009212D2"/>
    <w:rsid w:val="009C2CEA"/>
    <w:rsid w:val="00A002BD"/>
    <w:rsid w:val="00A43E7A"/>
    <w:rsid w:val="00A91371"/>
    <w:rsid w:val="00C219AF"/>
    <w:rsid w:val="00C2382E"/>
    <w:rsid w:val="00C565FC"/>
    <w:rsid w:val="00CE52B8"/>
    <w:rsid w:val="00DD74FE"/>
    <w:rsid w:val="00E00003"/>
    <w:rsid w:val="00E94447"/>
    <w:rsid w:val="00EC091C"/>
    <w:rsid w:val="00EE7BB6"/>
    <w:rsid w:val="00F43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F9E31"/>
  <w15:chartTrackingRefBased/>
  <w15:docId w15:val="{41C1B34F-6BE8-4656-8D35-01F34E85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FE"/>
  </w:style>
  <w:style w:type="paragraph" w:styleId="Heading1">
    <w:name w:val="heading 1"/>
    <w:basedOn w:val="Normal"/>
    <w:next w:val="Normal"/>
    <w:link w:val="Heading1Char"/>
    <w:uiPriority w:val="9"/>
    <w:qFormat/>
    <w:rsid w:val="004475F9"/>
    <w:pPr>
      <w:keepNext/>
      <w:keepLines/>
      <w:numPr>
        <w:numId w:val="1"/>
      </w:numPr>
      <w:spacing w:before="240" w:after="0"/>
      <w:outlineLvl w:val="0"/>
    </w:pPr>
    <w:rPr>
      <w:rFonts w:eastAsiaTheme="majorEastAsia" w:cs="Arial"/>
      <w:color w:val="00C0B5"/>
      <w:sz w:val="32"/>
      <w:szCs w:val="32"/>
    </w:rPr>
  </w:style>
  <w:style w:type="paragraph" w:styleId="Heading2">
    <w:name w:val="heading 2"/>
    <w:basedOn w:val="ListParagraph"/>
    <w:next w:val="Normal"/>
    <w:link w:val="Heading2Char"/>
    <w:uiPriority w:val="1"/>
    <w:unhideWhenUsed/>
    <w:qFormat/>
    <w:rsid w:val="00173D09"/>
    <w:pPr>
      <w:numPr>
        <w:ilvl w:val="1"/>
        <w:numId w:val="1"/>
      </w:numPr>
      <w:spacing w:after="0" w:line="240" w:lineRule="auto"/>
      <w:jc w:val="both"/>
      <w:outlineLvl w:val="1"/>
    </w:pPr>
    <w:rPr>
      <w:rFonts w:cs="Arial"/>
      <w:b/>
      <w:bCs/>
    </w:rPr>
  </w:style>
  <w:style w:type="paragraph" w:styleId="Heading3">
    <w:name w:val="heading 3"/>
    <w:basedOn w:val="Normal"/>
    <w:next w:val="Normal"/>
    <w:link w:val="Heading3Char"/>
    <w:uiPriority w:val="9"/>
    <w:semiHidden/>
    <w:unhideWhenUsed/>
    <w:qFormat/>
    <w:rsid w:val="000523C6"/>
    <w:pPr>
      <w:keepNext/>
      <w:keepLines/>
      <w:spacing w:before="40" w:after="0"/>
      <w:outlineLvl w:val="2"/>
    </w:pPr>
    <w:rPr>
      <w:rFonts w:asciiTheme="majorHAnsi" w:eastAsiaTheme="majorEastAsia" w:hAnsiTheme="majorHAnsi" w:cstheme="majorBidi"/>
      <w:color w:val="1F4D78" w:themeColor="accent1" w:themeShade="7F"/>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73D09"/>
    <w:rPr>
      <w:rFonts w:cs="Arial"/>
      <w:b/>
      <w:bCs/>
    </w:rPr>
  </w:style>
  <w:style w:type="paragraph" w:styleId="ListParagraph">
    <w:name w:val="List Paragraph"/>
    <w:basedOn w:val="Normal"/>
    <w:uiPriority w:val="34"/>
    <w:qFormat/>
    <w:rsid w:val="00DD74FE"/>
    <w:pPr>
      <w:ind w:left="720"/>
      <w:contextualSpacing/>
    </w:pPr>
  </w:style>
  <w:style w:type="paragraph" w:styleId="BodyTextIndent">
    <w:name w:val="Body Text Indent"/>
    <w:basedOn w:val="Normal"/>
    <w:link w:val="BodyTextIndentChar"/>
    <w:uiPriority w:val="99"/>
    <w:semiHidden/>
    <w:unhideWhenUsed/>
    <w:rsid w:val="00DD74FE"/>
    <w:pPr>
      <w:spacing w:after="120"/>
      <w:ind w:left="283"/>
    </w:pPr>
  </w:style>
  <w:style w:type="character" w:customStyle="1" w:styleId="BodyTextIndentChar">
    <w:name w:val="Body Text Indent Char"/>
    <w:basedOn w:val="DefaultParagraphFont"/>
    <w:link w:val="BodyTextIndent"/>
    <w:uiPriority w:val="99"/>
    <w:semiHidden/>
    <w:rsid w:val="00DD74FE"/>
  </w:style>
  <w:style w:type="character" w:customStyle="1" w:styleId="Heading1Char">
    <w:name w:val="Heading 1 Char"/>
    <w:basedOn w:val="DefaultParagraphFont"/>
    <w:link w:val="Heading1"/>
    <w:uiPriority w:val="9"/>
    <w:rsid w:val="004475F9"/>
    <w:rPr>
      <w:rFonts w:eastAsiaTheme="majorEastAsia" w:cs="Arial"/>
      <w:color w:val="00C0B5"/>
      <w:sz w:val="32"/>
      <w:szCs w:val="32"/>
    </w:rPr>
  </w:style>
  <w:style w:type="character" w:styleId="Hyperlink">
    <w:name w:val="Hyperlink"/>
    <w:basedOn w:val="DefaultParagraphFont"/>
    <w:uiPriority w:val="99"/>
    <w:unhideWhenUsed/>
    <w:rsid w:val="00693C72"/>
    <w:rPr>
      <w:color w:val="0563C1" w:themeColor="hyperlink"/>
      <w:u w:val="single"/>
    </w:rPr>
  </w:style>
  <w:style w:type="paragraph" w:styleId="Title">
    <w:name w:val="Title"/>
    <w:basedOn w:val="Normal"/>
    <w:next w:val="Normal"/>
    <w:link w:val="TitleChar"/>
    <w:uiPriority w:val="10"/>
    <w:qFormat/>
    <w:rsid w:val="002856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647"/>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517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35B"/>
    <w:rPr>
      <w:rFonts w:ascii="Segoe UI" w:hAnsi="Segoe UI" w:cs="Segoe UI"/>
      <w:sz w:val="18"/>
      <w:szCs w:val="18"/>
    </w:rPr>
  </w:style>
  <w:style w:type="table" w:styleId="TableGrid">
    <w:name w:val="Table Grid"/>
    <w:basedOn w:val="TableNormal"/>
    <w:uiPriority w:val="39"/>
    <w:rsid w:val="008D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58E"/>
  </w:style>
  <w:style w:type="paragraph" w:styleId="Footer">
    <w:name w:val="footer"/>
    <w:basedOn w:val="Normal"/>
    <w:link w:val="FooterChar"/>
    <w:uiPriority w:val="99"/>
    <w:unhideWhenUsed/>
    <w:rsid w:val="008D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58E"/>
  </w:style>
  <w:style w:type="paragraph" w:styleId="NormalWeb">
    <w:name w:val="Normal (Web)"/>
    <w:basedOn w:val="Normal"/>
    <w:uiPriority w:val="99"/>
    <w:unhideWhenUsed/>
    <w:rsid w:val="00C565F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TOCHeading">
    <w:name w:val="TOC Heading"/>
    <w:basedOn w:val="Heading1"/>
    <w:next w:val="Normal"/>
    <w:uiPriority w:val="39"/>
    <w:unhideWhenUsed/>
    <w:qFormat/>
    <w:rsid w:val="000C5726"/>
    <w:pPr>
      <w:numPr>
        <w:numId w:val="0"/>
      </w:numPr>
      <w:outlineLvl w:val="9"/>
    </w:pPr>
    <w:rPr>
      <w:rFonts w:asciiTheme="majorHAnsi" w:hAnsiTheme="majorHAnsi" w:cstheme="majorBidi"/>
      <w:color w:val="2E74B5" w:themeColor="accent1" w:themeShade="BF"/>
      <w:lang w:eastAsia="en-GB"/>
    </w:rPr>
  </w:style>
  <w:style w:type="paragraph" w:styleId="TOC1">
    <w:name w:val="toc 1"/>
    <w:basedOn w:val="Normal"/>
    <w:next w:val="Normal"/>
    <w:autoRedefine/>
    <w:uiPriority w:val="39"/>
    <w:unhideWhenUsed/>
    <w:rsid w:val="000C5726"/>
    <w:pPr>
      <w:spacing w:after="100"/>
    </w:pPr>
  </w:style>
  <w:style w:type="paragraph" w:styleId="TOC2">
    <w:name w:val="toc 2"/>
    <w:basedOn w:val="Normal"/>
    <w:next w:val="Normal"/>
    <w:autoRedefine/>
    <w:uiPriority w:val="39"/>
    <w:unhideWhenUsed/>
    <w:rsid w:val="000C5726"/>
    <w:pPr>
      <w:spacing w:after="100"/>
      <w:ind w:left="240"/>
    </w:pPr>
  </w:style>
  <w:style w:type="character" w:customStyle="1" w:styleId="legds">
    <w:name w:val="legds"/>
    <w:basedOn w:val="DefaultParagraphFont"/>
    <w:rsid w:val="000C5726"/>
  </w:style>
  <w:style w:type="paragraph" w:customStyle="1" w:styleId="legclearfix">
    <w:name w:val="legclearfix"/>
    <w:basedOn w:val="Normal"/>
    <w:rsid w:val="000C5726"/>
    <w:pPr>
      <w:spacing w:before="100" w:beforeAutospacing="1" w:after="100" w:afterAutospacing="1"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7A136B"/>
    <w:rPr>
      <w:i/>
      <w:iCs/>
    </w:rPr>
  </w:style>
  <w:style w:type="character" w:customStyle="1" w:styleId="highlight">
    <w:name w:val="highlight"/>
    <w:basedOn w:val="DefaultParagraphFont"/>
    <w:rsid w:val="007A136B"/>
  </w:style>
  <w:style w:type="character" w:customStyle="1" w:styleId="hgkelc">
    <w:name w:val="hgkelc"/>
    <w:basedOn w:val="DefaultParagraphFont"/>
    <w:rsid w:val="007A136B"/>
  </w:style>
  <w:style w:type="paragraph" w:customStyle="1" w:styleId="case-title">
    <w:name w:val="case-title"/>
    <w:basedOn w:val="Normal"/>
    <w:rsid w:val="000523C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semiHidden/>
    <w:rsid w:val="000523C6"/>
    <w:rPr>
      <w:rFonts w:asciiTheme="majorHAnsi" w:eastAsiaTheme="majorEastAsia" w:hAnsiTheme="majorHAnsi" w:cstheme="majorBidi"/>
      <w:color w:val="1F4D78" w:themeColor="accent1" w:themeShade="7F"/>
      <w:kern w:val="2"/>
      <w:szCs w:val="24"/>
      <w14:ligatures w14:val="standardContextual"/>
    </w:rPr>
  </w:style>
  <w:style w:type="character" w:customStyle="1" w:styleId="legamendingtext">
    <w:name w:val="legamendingtext"/>
    <w:basedOn w:val="DefaultParagraphFont"/>
    <w:rsid w:val="006A3375"/>
  </w:style>
  <w:style w:type="character" w:customStyle="1" w:styleId="legamendquote">
    <w:name w:val="legamendquote"/>
    <w:basedOn w:val="DefaultParagraphFont"/>
    <w:rsid w:val="006A3375"/>
  </w:style>
  <w:style w:type="character" w:styleId="Strong">
    <w:name w:val="Strong"/>
    <w:basedOn w:val="DefaultParagraphFont"/>
    <w:uiPriority w:val="22"/>
    <w:qFormat/>
    <w:rsid w:val="006A3375"/>
    <w:rPr>
      <w:b/>
      <w:bCs/>
    </w:rPr>
  </w:style>
  <w:style w:type="character" w:styleId="UnresolvedMention">
    <w:name w:val="Unresolved Mention"/>
    <w:basedOn w:val="DefaultParagraphFont"/>
    <w:uiPriority w:val="99"/>
    <w:semiHidden/>
    <w:unhideWhenUsed/>
    <w:rsid w:val="0050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9847">
      <w:bodyDiv w:val="1"/>
      <w:marLeft w:val="0"/>
      <w:marRight w:val="0"/>
      <w:marTop w:val="0"/>
      <w:marBottom w:val="0"/>
      <w:divBdr>
        <w:top w:val="none" w:sz="0" w:space="0" w:color="auto"/>
        <w:left w:val="none" w:sz="0" w:space="0" w:color="auto"/>
        <w:bottom w:val="none" w:sz="0" w:space="0" w:color="auto"/>
        <w:right w:val="none" w:sz="0" w:space="0" w:color="auto"/>
      </w:divBdr>
    </w:div>
    <w:div w:id="234704242">
      <w:bodyDiv w:val="1"/>
      <w:marLeft w:val="0"/>
      <w:marRight w:val="0"/>
      <w:marTop w:val="0"/>
      <w:marBottom w:val="0"/>
      <w:divBdr>
        <w:top w:val="none" w:sz="0" w:space="0" w:color="auto"/>
        <w:left w:val="none" w:sz="0" w:space="0" w:color="auto"/>
        <w:bottom w:val="none" w:sz="0" w:space="0" w:color="auto"/>
        <w:right w:val="none" w:sz="0" w:space="0" w:color="auto"/>
      </w:divBdr>
    </w:div>
    <w:div w:id="241137759">
      <w:bodyDiv w:val="1"/>
      <w:marLeft w:val="0"/>
      <w:marRight w:val="0"/>
      <w:marTop w:val="0"/>
      <w:marBottom w:val="0"/>
      <w:divBdr>
        <w:top w:val="none" w:sz="0" w:space="0" w:color="auto"/>
        <w:left w:val="none" w:sz="0" w:space="0" w:color="auto"/>
        <w:bottom w:val="none" w:sz="0" w:space="0" w:color="auto"/>
        <w:right w:val="none" w:sz="0" w:space="0" w:color="auto"/>
      </w:divBdr>
    </w:div>
    <w:div w:id="269508101">
      <w:bodyDiv w:val="1"/>
      <w:marLeft w:val="0"/>
      <w:marRight w:val="0"/>
      <w:marTop w:val="0"/>
      <w:marBottom w:val="0"/>
      <w:divBdr>
        <w:top w:val="none" w:sz="0" w:space="0" w:color="auto"/>
        <w:left w:val="none" w:sz="0" w:space="0" w:color="auto"/>
        <w:bottom w:val="none" w:sz="0" w:space="0" w:color="auto"/>
        <w:right w:val="none" w:sz="0" w:space="0" w:color="auto"/>
      </w:divBdr>
      <w:divsChild>
        <w:div w:id="1056974445">
          <w:marLeft w:val="0"/>
          <w:marRight w:val="0"/>
          <w:marTop w:val="0"/>
          <w:marBottom w:val="0"/>
          <w:divBdr>
            <w:top w:val="none" w:sz="0" w:space="0" w:color="auto"/>
            <w:left w:val="none" w:sz="0" w:space="0" w:color="auto"/>
            <w:bottom w:val="none" w:sz="0" w:space="0" w:color="auto"/>
            <w:right w:val="none" w:sz="0" w:space="0" w:color="auto"/>
          </w:divBdr>
          <w:divsChild>
            <w:div w:id="394857317">
              <w:marLeft w:val="0"/>
              <w:marRight w:val="0"/>
              <w:marTop w:val="0"/>
              <w:marBottom w:val="0"/>
              <w:divBdr>
                <w:top w:val="none" w:sz="0" w:space="0" w:color="auto"/>
                <w:left w:val="none" w:sz="0" w:space="0" w:color="auto"/>
                <w:bottom w:val="none" w:sz="0" w:space="0" w:color="auto"/>
                <w:right w:val="none" w:sz="0" w:space="0" w:color="auto"/>
              </w:divBdr>
              <w:divsChild>
                <w:div w:id="73088562">
                  <w:marLeft w:val="0"/>
                  <w:marRight w:val="0"/>
                  <w:marTop w:val="0"/>
                  <w:marBottom w:val="0"/>
                  <w:divBdr>
                    <w:top w:val="none" w:sz="0" w:space="0" w:color="auto"/>
                    <w:left w:val="none" w:sz="0" w:space="0" w:color="auto"/>
                    <w:bottom w:val="none" w:sz="0" w:space="0" w:color="auto"/>
                    <w:right w:val="none" w:sz="0" w:space="0" w:color="auto"/>
                  </w:divBdr>
                  <w:divsChild>
                    <w:div w:id="2097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0061">
          <w:marLeft w:val="0"/>
          <w:marRight w:val="0"/>
          <w:marTop w:val="180"/>
          <w:marBottom w:val="0"/>
          <w:divBdr>
            <w:top w:val="none" w:sz="0" w:space="0" w:color="auto"/>
            <w:left w:val="none" w:sz="0" w:space="0" w:color="auto"/>
            <w:bottom w:val="none" w:sz="0" w:space="0" w:color="auto"/>
            <w:right w:val="none" w:sz="0" w:space="0" w:color="auto"/>
          </w:divBdr>
          <w:divsChild>
            <w:div w:id="839387134">
              <w:marLeft w:val="0"/>
              <w:marRight w:val="0"/>
              <w:marTop w:val="0"/>
              <w:marBottom w:val="0"/>
              <w:divBdr>
                <w:top w:val="none" w:sz="0" w:space="0" w:color="auto"/>
                <w:left w:val="none" w:sz="0" w:space="0" w:color="auto"/>
                <w:bottom w:val="none" w:sz="0" w:space="0" w:color="auto"/>
                <w:right w:val="none" w:sz="0" w:space="0" w:color="auto"/>
              </w:divBdr>
            </w:div>
            <w:div w:id="3362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7432">
      <w:bodyDiv w:val="1"/>
      <w:marLeft w:val="0"/>
      <w:marRight w:val="0"/>
      <w:marTop w:val="0"/>
      <w:marBottom w:val="0"/>
      <w:divBdr>
        <w:top w:val="none" w:sz="0" w:space="0" w:color="auto"/>
        <w:left w:val="none" w:sz="0" w:space="0" w:color="auto"/>
        <w:bottom w:val="none" w:sz="0" w:space="0" w:color="auto"/>
        <w:right w:val="none" w:sz="0" w:space="0" w:color="auto"/>
      </w:divBdr>
      <w:divsChild>
        <w:div w:id="650450807">
          <w:marLeft w:val="0"/>
          <w:marRight w:val="0"/>
          <w:marTop w:val="0"/>
          <w:marBottom w:val="0"/>
          <w:divBdr>
            <w:top w:val="none" w:sz="0" w:space="0" w:color="auto"/>
            <w:left w:val="none" w:sz="0" w:space="0" w:color="auto"/>
            <w:bottom w:val="none" w:sz="0" w:space="0" w:color="auto"/>
            <w:right w:val="none" w:sz="0" w:space="0" w:color="auto"/>
          </w:divBdr>
          <w:divsChild>
            <w:div w:id="849216687">
              <w:marLeft w:val="0"/>
              <w:marRight w:val="0"/>
              <w:marTop w:val="0"/>
              <w:marBottom w:val="0"/>
              <w:divBdr>
                <w:top w:val="none" w:sz="0" w:space="0" w:color="auto"/>
                <w:left w:val="none" w:sz="0" w:space="0" w:color="auto"/>
                <w:bottom w:val="none" w:sz="0" w:space="0" w:color="auto"/>
                <w:right w:val="none" w:sz="0" w:space="0" w:color="auto"/>
              </w:divBdr>
              <w:divsChild>
                <w:div w:id="1409695169">
                  <w:marLeft w:val="0"/>
                  <w:marRight w:val="0"/>
                  <w:marTop w:val="0"/>
                  <w:marBottom w:val="0"/>
                  <w:divBdr>
                    <w:top w:val="none" w:sz="0" w:space="0" w:color="auto"/>
                    <w:left w:val="none" w:sz="0" w:space="0" w:color="auto"/>
                    <w:bottom w:val="none" w:sz="0" w:space="0" w:color="auto"/>
                    <w:right w:val="none" w:sz="0" w:space="0" w:color="auto"/>
                  </w:divBdr>
                  <w:divsChild>
                    <w:div w:id="1329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7084">
          <w:marLeft w:val="0"/>
          <w:marRight w:val="0"/>
          <w:marTop w:val="180"/>
          <w:marBottom w:val="0"/>
          <w:divBdr>
            <w:top w:val="none" w:sz="0" w:space="0" w:color="auto"/>
            <w:left w:val="none" w:sz="0" w:space="0" w:color="auto"/>
            <w:bottom w:val="none" w:sz="0" w:space="0" w:color="auto"/>
            <w:right w:val="none" w:sz="0" w:space="0" w:color="auto"/>
          </w:divBdr>
          <w:divsChild>
            <w:div w:id="12478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27632">
      <w:bodyDiv w:val="1"/>
      <w:marLeft w:val="0"/>
      <w:marRight w:val="0"/>
      <w:marTop w:val="0"/>
      <w:marBottom w:val="0"/>
      <w:divBdr>
        <w:top w:val="none" w:sz="0" w:space="0" w:color="auto"/>
        <w:left w:val="none" w:sz="0" w:space="0" w:color="auto"/>
        <w:bottom w:val="none" w:sz="0" w:space="0" w:color="auto"/>
        <w:right w:val="none" w:sz="0" w:space="0" w:color="auto"/>
      </w:divBdr>
      <w:divsChild>
        <w:div w:id="1505701538">
          <w:marLeft w:val="0"/>
          <w:marRight w:val="0"/>
          <w:marTop w:val="0"/>
          <w:marBottom w:val="0"/>
          <w:divBdr>
            <w:top w:val="none" w:sz="0" w:space="0" w:color="auto"/>
            <w:left w:val="none" w:sz="0" w:space="0" w:color="auto"/>
            <w:bottom w:val="none" w:sz="0" w:space="0" w:color="auto"/>
            <w:right w:val="none" w:sz="0" w:space="0" w:color="auto"/>
          </w:divBdr>
          <w:divsChild>
            <w:div w:id="195848131">
              <w:marLeft w:val="0"/>
              <w:marRight w:val="0"/>
              <w:marTop w:val="0"/>
              <w:marBottom w:val="0"/>
              <w:divBdr>
                <w:top w:val="none" w:sz="0" w:space="0" w:color="auto"/>
                <w:left w:val="none" w:sz="0" w:space="0" w:color="auto"/>
                <w:bottom w:val="none" w:sz="0" w:space="0" w:color="auto"/>
                <w:right w:val="none" w:sz="0" w:space="0" w:color="auto"/>
              </w:divBdr>
              <w:divsChild>
                <w:div w:id="259945891">
                  <w:marLeft w:val="0"/>
                  <w:marRight w:val="0"/>
                  <w:marTop w:val="0"/>
                  <w:marBottom w:val="0"/>
                  <w:divBdr>
                    <w:top w:val="none" w:sz="0" w:space="0" w:color="auto"/>
                    <w:left w:val="none" w:sz="0" w:space="0" w:color="auto"/>
                    <w:bottom w:val="none" w:sz="0" w:space="0" w:color="auto"/>
                    <w:right w:val="none" w:sz="0" w:space="0" w:color="auto"/>
                  </w:divBdr>
                  <w:divsChild>
                    <w:div w:id="8710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4814">
          <w:marLeft w:val="0"/>
          <w:marRight w:val="0"/>
          <w:marTop w:val="180"/>
          <w:marBottom w:val="0"/>
          <w:divBdr>
            <w:top w:val="none" w:sz="0" w:space="0" w:color="auto"/>
            <w:left w:val="none" w:sz="0" w:space="0" w:color="auto"/>
            <w:bottom w:val="none" w:sz="0" w:space="0" w:color="auto"/>
            <w:right w:val="none" w:sz="0" w:space="0" w:color="auto"/>
          </w:divBdr>
          <w:divsChild>
            <w:div w:id="4759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85902">
      <w:bodyDiv w:val="1"/>
      <w:marLeft w:val="0"/>
      <w:marRight w:val="0"/>
      <w:marTop w:val="0"/>
      <w:marBottom w:val="0"/>
      <w:divBdr>
        <w:top w:val="none" w:sz="0" w:space="0" w:color="auto"/>
        <w:left w:val="none" w:sz="0" w:space="0" w:color="auto"/>
        <w:bottom w:val="none" w:sz="0" w:space="0" w:color="auto"/>
        <w:right w:val="none" w:sz="0" w:space="0" w:color="auto"/>
      </w:divBdr>
    </w:div>
    <w:div w:id="495264998">
      <w:bodyDiv w:val="1"/>
      <w:marLeft w:val="0"/>
      <w:marRight w:val="0"/>
      <w:marTop w:val="0"/>
      <w:marBottom w:val="0"/>
      <w:divBdr>
        <w:top w:val="none" w:sz="0" w:space="0" w:color="auto"/>
        <w:left w:val="none" w:sz="0" w:space="0" w:color="auto"/>
        <w:bottom w:val="none" w:sz="0" w:space="0" w:color="auto"/>
        <w:right w:val="none" w:sz="0" w:space="0" w:color="auto"/>
      </w:divBdr>
      <w:divsChild>
        <w:div w:id="42683458">
          <w:marLeft w:val="547"/>
          <w:marRight w:val="0"/>
          <w:marTop w:val="0"/>
          <w:marBottom w:val="0"/>
          <w:divBdr>
            <w:top w:val="none" w:sz="0" w:space="0" w:color="auto"/>
            <w:left w:val="none" w:sz="0" w:space="0" w:color="auto"/>
            <w:bottom w:val="none" w:sz="0" w:space="0" w:color="auto"/>
            <w:right w:val="none" w:sz="0" w:space="0" w:color="auto"/>
          </w:divBdr>
        </w:div>
        <w:div w:id="940603888">
          <w:marLeft w:val="547"/>
          <w:marRight w:val="0"/>
          <w:marTop w:val="0"/>
          <w:marBottom w:val="0"/>
          <w:divBdr>
            <w:top w:val="none" w:sz="0" w:space="0" w:color="auto"/>
            <w:left w:val="none" w:sz="0" w:space="0" w:color="auto"/>
            <w:bottom w:val="none" w:sz="0" w:space="0" w:color="auto"/>
            <w:right w:val="none" w:sz="0" w:space="0" w:color="auto"/>
          </w:divBdr>
        </w:div>
        <w:div w:id="1962570426">
          <w:marLeft w:val="547"/>
          <w:marRight w:val="0"/>
          <w:marTop w:val="0"/>
          <w:marBottom w:val="0"/>
          <w:divBdr>
            <w:top w:val="none" w:sz="0" w:space="0" w:color="auto"/>
            <w:left w:val="none" w:sz="0" w:space="0" w:color="auto"/>
            <w:bottom w:val="none" w:sz="0" w:space="0" w:color="auto"/>
            <w:right w:val="none" w:sz="0" w:space="0" w:color="auto"/>
          </w:divBdr>
        </w:div>
      </w:divsChild>
    </w:div>
    <w:div w:id="509561582">
      <w:bodyDiv w:val="1"/>
      <w:marLeft w:val="0"/>
      <w:marRight w:val="0"/>
      <w:marTop w:val="0"/>
      <w:marBottom w:val="0"/>
      <w:divBdr>
        <w:top w:val="none" w:sz="0" w:space="0" w:color="auto"/>
        <w:left w:val="none" w:sz="0" w:space="0" w:color="auto"/>
        <w:bottom w:val="none" w:sz="0" w:space="0" w:color="auto"/>
        <w:right w:val="none" w:sz="0" w:space="0" w:color="auto"/>
      </w:divBdr>
      <w:divsChild>
        <w:div w:id="261650558">
          <w:marLeft w:val="0"/>
          <w:marRight w:val="0"/>
          <w:marTop w:val="0"/>
          <w:marBottom w:val="0"/>
          <w:divBdr>
            <w:top w:val="none" w:sz="0" w:space="0" w:color="auto"/>
            <w:left w:val="none" w:sz="0" w:space="0" w:color="auto"/>
            <w:bottom w:val="none" w:sz="0" w:space="0" w:color="auto"/>
            <w:right w:val="none" w:sz="0" w:space="0" w:color="auto"/>
          </w:divBdr>
          <w:divsChild>
            <w:div w:id="1159005004">
              <w:marLeft w:val="0"/>
              <w:marRight w:val="0"/>
              <w:marTop w:val="0"/>
              <w:marBottom w:val="0"/>
              <w:divBdr>
                <w:top w:val="none" w:sz="0" w:space="0" w:color="auto"/>
                <w:left w:val="none" w:sz="0" w:space="0" w:color="auto"/>
                <w:bottom w:val="none" w:sz="0" w:space="0" w:color="auto"/>
                <w:right w:val="none" w:sz="0" w:space="0" w:color="auto"/>
              </w:divBdr>
              <w:divsChild>
                <w:div w:id="20365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14402">
      <w:bodyDiv w:val="1"/>
      <w:marLeft w:val="0"/>
      <w:marRight w:val="0"/>
      <w:marTop w:val="0"/>
      <w:marBottom w:val="0"/>
      <w:divBdr>
        <w:top w:val="none" w:sz="0" w:space="0" w:color="auto"/>
        <w:left w:val="none" w:sz="0" w:space="0" w:color="auto"/>
        <w:bottom w:val="none" w:sz="0" w:space="0" w:color="auto"/>
        <w:right w:val="none" w:sz="0" w:space="0" w:color="auto"/>
      </w:divBdr>
    </w:div>
    <w:div w:id="581066556">
      <w:bodyDiv w:val="1"/>
      <w:marLeft w:val="0"/>
      <w:marRight w:val="0"/>
      <w:marTop w:val="0"/>
      <w:marBottom w:val="0"/>
      <w:divBdr>
        <w:top w:val="none" w:sz="0" w:space="0" w:color="auto"/>
        <w:left w:val="none" w:sz="0" w:space="0" w:color="auto"/>
        <w:bottom w:val="none" w:sz="0" w:space="0" w:color="auto"/>
        <w:right w:val="none" w:sz="0" w:space="0" w:color="auto"/>
      </w:divBdr>
      <w:divsChild>
        <w:div w:id="845293872">
          <w:marLeft w:val="547"/>
          <w:marRight w:val="0"/>
          <w:marTop w:val="0"/>
          <w:marBottom w:val="0"/>
          <w:divBdr>
            <w:top w:val="none" w:sz="0" w:space="0" w:color="auto"/>
            <w:left w:val="none" w:sz="0" w:space="0" w:color="auto"/>
            <w:bottom w:val="none" w:sz="0" w:space="0" w:color="auto"/>
            <w:right w:val="none" w:sz="0" w:space="0" w:color="auto"/>
          </w:divBdr>
        </w:div>
        <w:div w:id="531306662">
          <w:marLeft w:val="1267"/>
          <w:marRight w:val="0"/>
          <w:marTop w:val="0"/>
          <w:marBottom w:val="0"/>
          <w:divBdr>
            <w:top w:val="none" w:sz="0" w:space="0" w:color="auto"/>
            <w:left w:val="none" w:sz="0" w:space="0" w:color="auto"/>
            <w:bottom w:val="none" w:sz="0" w:space="0" w:color="auto"/>
            <w:right w:val="none" w:sz="0" w:space="0" w:color="auto"/>
          </w:divBdr>
        </w:div>
        <w:div w:id="431166022">
          <w:marLeft w:val="1267"/>
          <w:marRight w:val="0"/>
          <w:marTop w:val="0"/>
          <w:marBottom w:val="0"/>
          <w:divBdr>
            <w:top w:val="none" w:sz="0" w:space="0" w:color="auto"/>
            <w:left w:val="none" w:sz="0" w:space="0" w:color="auto"/>
            <w:bottom w:val="none" w:sz="0" w:space="0" w:color="auto"/>
            <w:right w:val="none" w:sz="0" w:space="0" w:color="auto"/>
          </w:divBdr>
        </w:div>
        <w:div w:id="411899306">
          <w:marLeft w:val="1987"/>
          <w:marRight w:val="0"/>
          <w:marTop w:val="0"/>
          <w:marBottom w:val="0"/>
          <w:divBdr>
            <w:top w:val="none" w:sz="0" w:space="0" w:color="auto"/>
            <w:left w:val="none" w:sz="0" w:space="0" w:color="auto"/>
            <w:bottom w:val="none" w:sz="0" w:space="0" w:color="auto"/>
            <w:right w:val="none" w:sz="0" w:space="0" w:color="auto"/>
          </w:divBdr>
        </w:div>
        <w:div w:id="1131292517">
          <w:marLeft w:val="1987"/>
          <w:marRight w:val="0"/>
          <w:marTop w:val="0"/>
          <w:marBottom w:val="0"/>
          <w:divBdr>
            <w:top w:val="none" w:sz="0" w:space="0" w:color="auto"/>
            <w:left w:val="none" w:sz="0" w:space="0" w:color="auto"/>
            <w:bottom w:val="none" w:sz="0" w:space="0" w:color="auto"/>
            <w:right w:val="none" w:sz="0" w:space="0" w:color="auto"/>
          </w:divBdr>
        </w:div>
        <w:div w:id="1227496657">
          <w:marLeft w:val="547"/>
          <w:marRight w:val="0"/>
          <w:marTop w:val="0"/>
          <w:marBottom w:val="0"/>
          <w:divBdr>
            <w:top w:val="none" w:sz="0" w:space="0" w:color="auto"/>
            <w:left w:val="none" w:sz="0" w:space="0" w:color="auto"/>
            <w:bottom w:val="none" w:sz="0" w:space="0" w:color="auto"/>
            <w:right w:val="none" w:sz="0" w:space="0" w:color="auto"/>
          </w:divBdr>
        </w:div>
        <w:div w:id="1146625893">
          <w:marLeft w:val="1267"/>
          <w:marRight w:val="0"/>
          <w:marTop w:val="0"/>
          <w:marBottom w:val="0"/>
          <w:divBdr>
            <w:top w:val="none" w:sz="0" w:space="0" w:color="auto"/>
            <w:left w:val="none" w:sz="0" w:space="0" w:color="auto"/>
            <w:bottom w:val="none" w:sz="0" w:space="0" w:color="auto"/>
            <w:right w:val="none" w:sz="0" w:space="0" w:color="auto"/>
          </w:divBdr>
        </w:div>
        <w:div w:id="247540252">
          <w:marLeft w:val="1267"/>
          <w:marRight w:val="0"/>
          <w:marTop w:val="0"/>
          <w:marBottom w:val="0"/>
          <w:divBdr>
            <w:top w:val="none" w:sz="0" w:space="0" w:color="auto"/>
            <w:left w:val="none" w:sz="0" w:space="0" w:color="auto"/>
            <w:bottom w:val="none" w:sz="0" w:space="0" w:color="auto"/>
            <w:right w:val="none" w:sz="0" w:space="0" w:color="auto"/>
          </w:divBdr>
        </w:div>
        <w:div w:id="810707083">
          <w:marLeft w:val="547"/>
          <w:marRight w:val="0"/>
          <w:marTop w:val="0"/>
          <w:marBottom w:val="0"/>
          <w:divBdr>
            <w:top w:val="none" w:sz="0" w:space="0" w:color="auto"/>
            <w:left w:val="none" w:sz="0" w:space="0" w:color="auto"/>
            <w:bottom w:val="none" w:sz="0" w:space="0" w:color="auto"/>
            <w:right w:val="none" w:sz="0" w:space="0" w:color="auto"/>
          </w:divBdr>
        </w:div>
        <w:div w:id="1115561899">
          <w:marLeft w:val="1267"/>
          <w:marRight w:val="0"/>
          <w:marTop w:val="0"/>
          <w:marBottom w:val="0"/>
          <w:divBdr>
            <w:top w:val="none" w:sz="0" w:space="0" w:color="auto"/>
            <w:left w:val="none" w:sz="0" w:space="0" w:color="auto"/>
            <w:bottom w:val="none" w:sz="0" w:space="0" w:color="auto"/>
            <w:right w:val="none" w:sz="0" w:space="0" w:color="auto"/>
          </w:divBdr>
        </w:div>
        <w:div w:id="358822480">
          <w:marLeft w:val="1267"/>
          <w:marRight w:val="0"/>
          <w:marTop w:val="0"/>
          <w:marBottom w:val="0"/>
          <w:divBdr>
            <w:top w:val="none" w:sz="0" w:space="0" w:color="auto"/>
            <w:left w:val="none" w:sz="0" w:space="0" w:color="auto"/>
            <w:bottom w:val="none" w:sz="0" w:space="0" w:color="auto"/>
            <w:right w:val="none" w:sz="0" w:space="0" w:color="auto"/>
          </w:divBdr>
        </w:div>
        <w:div w:id="546332228">
          <w:marLeft w:val="1267"/>
          <w:marRight w:val="0"/>
          <w:marTop w:val="0"/>
          <w:marBottom w:val="0"/>
          <w:divBdr>
            <w:top w:val="none" w:sz="0" w:space="0" w:color="auto"/>
            <w:left w:val="none" w:sz="0" w:space="0" w:color="auto"/>
            <w:bottom w:val="none" w:sz="0" w:space="0" w:color="auto"/>
            <w:right w:val="none" w:sz="0" w:space="0" w:color="auto"/>
          </w:divBdr>
        </w:div>
        <w:div w:id="1002850381">
          <w:marLeft w:val="720"/>
          <w:marRight w:val="0"/>
          <w:marTop w:val="0"/>
          <w:marBottom w:val="0"/>
          <w:divBdr>
            <w:top w:val="none" w:sz="0" w:space="0" w:color="auto"/>
            <w:left w:val="none" w:sz="0" w:space="0" w:color="auto"/>
            <w:bottom w:val="none" w:sz="0" w:space="0" w:color="auto"/>
            <w:right w:val="none" w:sz="0" w:space="0" w:color="auto"/>
          </w:divBdr>
        </w:div>
        <w:div w:id="983779307">
          <w:marLeft w:val="720"/>
          <w:marRight w:val="0"/>
          <w:marTop w:val="0"/>
          <w:marBottom w:val="0"/>
          <w:divBdr>
            <w:top w:val="none" w:sz="0" w:space="0" w:color="auto"/>
            <w:left w:val="none" w:sz="0" w:space="0" w:color="auto"/>
            <w:bottom w:val="none" w:sz="0" w:space="0" w:color="auto"/>
            <w:right w:val="none" w:sz="0" w:space="0" w:color="auto"/>
          </w:divBdr>
        </w:div>
      </w:divsChild>
    </w:div>
    <w:div w:id="618267915">
      <w:bodyDiv w:val="1"/>
      <w:marLeft w:val="0"/>
      <w:marRight w:val="0"/>
      <w:marTop w:val="0"/>
      <w:marBottom w:val="0"/>
      <w:divBdr>
        <w:top w:val="none" w:sz="0" w:space="0" w:color="auto"/>
        <w:left w:val="none" w:sz="0" w:space="0" w:color="auto"/>
        <w:bottom w:val="none" w:sz="0" w:space="0" w:color="auto"/>
        <w:right w:val="none" w:sz="0" w:space="0" w:color="auto"/>
      </w:divBdr>
    </w:div>
    <w:div w:id="659502462">
      <w:bodyDiv w:val="1"/>
      <w:marLeft w:val="0"/>
      <w:marRight w:val="0"/>
      <w:marTop w:val="0"/>
      <w:marBottom w:val="0"/>
      <w:divBdr>
        <w:top w:val="none" w:sz="0" w:space="0" w:color="auto"/>
        <w:left w:val="none" w:sz="0" w:space="0" w:color="auto"/>
        <w:bottom w:val="none" w:sz="0" w:space="0" w:color="auto"/>
        <w:right w:val="none" w:sz="0" w:space="0" w:color="auto"/>
      </w:divBdr>
    </w:div>
    <w:div w:id="769551241">
      <w:bodyDiv w:val="1"/>
      <w:marLeft w:val="0"/>
      <w:marRight w:val="0"/>
      <w:marTop w:val="0"/>
      <w:marBottom w:val="0"/>
      <w:divBdr>
        <w:top w:val="none" w:sz="0" w:space="0" w:color="auto"/>
        <w:left w:val="none" w:sz="0" w:space="0" w:color="auto"/>
        <w:bottom w:val="none" w:sz="0" w:space="0" w:color="auto"/>
        <w:right w:val="none" w:sz="0" w:space="0" w:color="auto"/>
      </w:divBdr>
      <w:divsChild>
        <w:div w:id="1629508170">
          <w:marLeft w:val="0"/>
          <w:marRight w:val="0"/>
          <w:marTop w:val="0"/>
          <w:marBottom w:val="0"/>
          <w:divBdr>
            <w:top w:val="none" w:sz="0" w:space="0" w:color="auto"/>
            <w:left w:val="none" w:sz="0" w:space="0" w:color="auto"/>
            <w:bottom w:val="none" w:sz="0" w:space="0" w:color="auto"/>
            <w:right w:val="none" w:sz="0" w:space="0" w:color="auto"/>
          </w:divBdr>
          <w:divsChild>
            <w:div w:id="1064332401">
              <w:marLeft w:val="0"/>
              <w:marRight w:val="0"/>
              <w:marTop w:val="0"/>
              <w:marBottom w:val="0"/>
              <w:divBdr>
                <w:top w:val="none" w:sz="0" w:space="0" w:color="auto"/>
                <w:left w:val="none" w:sz="0" w:space="0" w:color="auto"/>
                <w:bottom w:val="none" w:sz="0" w:space="0" w:color="auto"/>
                <w:right w:val="none" w:sz="0" w:space="0" w:color="auto"/>
              </w:divBdr>
              <w:divsChild>
                <w:div w:id="1960838056">
                  <w:marLeft w:val="0"/>
                  <w:marRight w:val="0"/>
                  <w:marTop w:val="0"/>
                  <w:marBottom w:val="0"/>
                  <w:divBdr>
                    <w:top w:val="none" w:sz="0" w:space="0" w:color="auto"/>
                    <w:left w:val="none" w:sz="0" w:space="0" w:color="auto"/>
                    <w:bottom w:val="none" w:sz="0" w:space="0" w:color="auto"/>
                    <w:right w:val="none" w:sz="0" w:space="0" w:color="auto"/>
                  </w:divBdr>
                  <w:divsChild>
                    <w:div w:id="12291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96874">
          <w:marLeft w:val="0"/>
          <w:marRight w:val="0"/>
          <w:marTop w:val="180"/>
          <w:marBottom w:val="0"/>
          <w:divBdr>
            <w:top w:val="none" w:sz="0" w:space="0" w:color="auto"/>
            <w:left w:val="none" w:sz="0" w:space="0" w:color="auto"/>
            <w:bottom w:val="none" w:sz="0" w:space="0" w:color="auto"/>
            <w:right w:val="none" w:sz="0" w:space="0" w:color="auto"/>
          </w:divBdr>
          <w:divsChild>
            <w:div w:id="1443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3036">
      <w:bodyDiv w:val="1"/>
      <w:marLeft w:val="0"/>
      <w:marRight w:val="0"/>
      <w:marTop w:val="0"/>
      <w:marBottom w:val="0"/>
      <w:divBdr>
        <w:top w:val="none" w:sz="0" w:space="0" w:color="auto"/>
        <w:left w:val="none" w:sz="0" w:space="0" w:color="auto"/>
        <w:bottom w:val="none" w:sz="0" w:space="0" w:color="auto"/>
        <w:right w:val="none" w:sz="0" w:space="0" w:color="auto"/>
      </w:divBdr>
    </w:div>
    <w:div w:id="886258777">
      <w:bodyDiv w:val="1"/>
      <w:marLeft w:val="0"/>
      <w:marRight w:val="0"/>
      <w:marTop w:val="0"/>
      <w:marBottom w:val="0"/>
      <w:divBdr>
        <w:top w:val="none" w:sz="0" w:space="0" w:color="auto"/>
        <w:left w:val="none" w:sz="0" w:space="0" w:color="auto"/>
        <w:bottom w:val="none" w:sz="0" w:space="0" w:color="auto"/>
        <w:right w:val="none" w:sz="0" w:space="0" w:color="auto"/>
      </w:divBdr>
    </w:div>
    <w:div w:id="986513473">
      <w:bodyDiv w:val="1"/>
      <w:marLeft w:val="0"/>
      <w:marRight w:val="0"/>
      <w:marTop w:val="0"/>
      <w:marBottom w:val="0"/>
      <w:divBdr>
        <w:top w:val="none" w:sz="0" w:space="0" w:color="auto"/>
        <w:left w:val="none" w:sz="0" w:space="0" w:color="auto"/>
        <w:bottom w:val="none" w:sz="0" w:space="0" w:color="auto"/>
        <w:right w:val="none" w:sz="0" w:space="0" w:color="auto"/>
      </w:divBdr>
    </w:div>
    <w:div w:id="1040321395">
      <w:bodyDiv w:val="1"/>
      <w:marLeft w:val="0"/>
      <w:marRight w:val="0"/>
      <w:marTop w:val="0"/>
      <w:marBottom w:val="0"/>
      <w:divBdr>
        <w:top w:val="none" w:sz="0" w:space="0" w:color="auto"/>
        <w:left w:val="none" w:sz="0" w:space="0" w:color="auto"/>
        <w:bottom w:val="none" w:sz="0" w:space="0" w:color="auto"/>
        <w:right w:val="none" w:sz="0" w:space="0" w:color="auto"/>
      </w:divBdr>
      <w:divsChild>
        <w:div w:id="809128887">
          <w:marLeft w:val="0"/>
          <w:marRight w:val="0"/>
          <w:marTop w:val="0"/>
          <w:marBottom w:val="0"/>
          <w:divBdr>
            <w:top w:val="none" w:sz="0" w:space="0" w:color="auto"/>
            <w:left w:val="none" w:sz="0" w:space="0" w:color="auto"/>
            <w:bottom w:val="none" w:sz="0" w:space="0" w:color="auto"/>
            <w:right w:val="none" w:sz="0" w:space="0" w:color="auto"/>
          </w:divBdr>
          <w:divsChild>
            <w:div w:id="1325357227">
              <w:marLeft w:val="0"/>
              <w:marRight w:val="0"/>
              <w:marTop w:val="0"/>
              <w:marBottom w:val="0"/>
              <w:divBdr>
                <w:top w:val="none" w:sz="0" w:space="0" w:color="auto"/>
                <w:left w:val="none" w:sz="0" w:space="0" w:color="auto"/>
                <w:bottom w:val="none" w:sz="0" w:space="0" w:color="auto"/>
                <w:right w:val="none" w:sz="0" w:space="0" w:color="auto"/>
              </w:divBdr>
              <w:divsChild>
                <w:div w:id="405497084">
                  <w:marLeft w:val="0"/>
                  <w:marRight w:val="0"/>
                  <w:marTop w:val="0"/>
                  <w:marBottom w:val="0"/>
                  <w:divBdr>
                    <w:top w:val="none" w:sz="0" w:space="0" w:color="auto"/>
                    <w:left w:val="none" w:sz="0" w:space="0" w:color="auto"/>
                    <w:bottom w:val="none" w:sz="0" w:space="0" w:color="auto"/>
                    <w:right w:val="none" w:sz="0" w:space="0" w:color="auto"/>
                  </w:divBdr>
                  <w:divsChild>
                    <w:div w:id="403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218">
          <w:marLeft w:val="0"/>
          <w:marRight w:val="0"/>
          <w:marTop w:val="180"/>
          <w:marBottom w:val="0"/>
          <w:divBdr>
            <w:top w:val="none" w:sz="0" w:space="0" w:color="auto"/>
            <w:left w:val="none" w:sz="0" w:space="0" w:color="auto"/>
            <w:bottom w:val="none" w:sz="0" w:space="0" w:color="auto"/>
            <w:right w:val="none" w:sz="0" w:space="0" w:color="auto"/>
          </w:divBdr>
          <w:divsChild>
            <w:div w:id="910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7596">
      <w:bodyDiv w:val="1"/>
      <w:marLeft w:val="0"/>
      <w:marRight w:val="0"/>
      <w:marTop w:val="0"/>
      <w:marBottom w:val="0"/>
      <w:divBdr>
        <w:top w:val="none" w:sz="0" w:space="0" w:color="auto"/>
        <w:left w:val="none" w:sz="0" w:space="0" w:color="auto"/>
        <w:bottom w:val="none" w:sz="0" w:space="0" w:color="auto"/>
        <w:right w:val="none" w:sz="0" w:space="0" w:color="auto"/>
      </w:divBdr>
      <w:divsChild>
        <w:div w:id="421534275">
          <w:marLeft w:val="0"/>
          <w:marRight w:val="0"/>
          <w:marTop w:val="0"/>
          <w:marBottom w:val="0"/>
          <w:divBdr>
            <w:top w:val="none" w:sz="0" w:space="0" w:color="auto"/>
            <w:left w:val="none" w:sz="0" w:space="0" w:color="auto"/>
            <w:bottom w:val="none" w:sz="0" w:space="0" w:color="auto"/>
            <w:right w:val="none" w:sz="0" w:space="0" w:color="auto"/>
          </w:divBdr>
          <w:divsChild>
            <w:div w:id="656343478">
              <w:marLeft w:val="0"/>
              <w:marRight w:val="0"/>
              <w:marTop w:val="0"/>
              <w:marBottom w:val="0"/>
              <w:divBdr>
                <w:top w:val="none" w:sz="0" w:space="0" w:color="auto"/>
                <w:left w:val="none" w:sz="0" w:space="0" w:color="auto"/>
                <w:bottom w:val="none" w:sz="0" w:space="0" w:color="auto"/>
                <w:right w:val="none" w:sz="0" w:space="0" w:color="auto"/>
              </w:divBdr>
              <w:divsChild>
                <w:div w:id="1257782721">
                  <w:marLeft w:val="0"/>
                  <w:marRight w:val="0"/>
                  <w:marTop w:val="0"/>
                  <w:marBottom w:val="0"/>
                  <w:divBdr>
                    <w:top w:val="none" w:sz="0" w:space="0" w:color="auto"/>
                    <w:left w:val="none" w:sz="0" w:space="0" w:color="auto"/>
                    <w:bottom w:val="none" w:sz="0" w:space="0" w:color="auto"/>
                    <w:right w:val="none" w:sz="0" w:space="0" w:color="auto"/>
                  </w:divBdr>
                  <w:divsChild>
                    <w:div w:id="6157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841917">
          <w:marLeft w:val="0"/>
          <w:marRight w:val="0"/>
          <w:marTop w:val="180"/>
          <w:marBottom w:val="0"/>
          <w:divBdr>
            <w:top w:val="none" w:sz="0" w:space="0" w:color="auto"/>
            <w:left w:val="none" w:sz="0" w:space="0" w:color="auto"/>
            <w:bottom w:val="none" w:sz="0" w:space="0" w:color="auto"/>
            <w:right w:val="none" w:sz="0" w:space="0" w:color="auto"/>
          </w:divBdr>
          <w:divsChild>
            <w:div w:id="21217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6159">
      <w:bodyDiv w:val="1"/>
      <w:marLeft w:val="0"/>
      <w:marRight w:val="0"/>
      <w:marTop w:val="0"/>
      <w:marBottom w:val="0"/>
      <w:divBdr>
        <w:top w:val="none" w:sz="0" w:space="0" w:color="auto"/>
        <w:left w:val="none" w:sz="0" w:space="0" w:color="auto"/>
        <w:bottom w:val="none" w:sz="0" w:space="0" w:color="auto"/>
        <w:right w:val="none" w:sz="0" w:space="0" w:color="auto"/>
      </w:divBdr>
      <w:divsChild>
        <w:div w:id="1018773132">
          <w:marLeft w:val="0"/>
          <w:marRight w:val="0"/>
          <w:marTop w:val="0"/>
          <w:marBottom w:val="0"/>
          <w:divBdr>
            <w:top w:val="none" w:sz="0" w:space="0" w:color="auto"/>
            <w:left w:val="none" w:sz="0" w:space="0" w:color="auto"/>
            <w:bottom w:val="none" w:sz="0" w:space="0" w:color="auto"/>
            <w:right w:val="none" w:sz="0" w:space="0" w:color="auto"/>
          </w:divBdr>
          <w:divsChild>
            <w:div w:id="1824002264">
              <w:marLeft w:val="0"/>
              <w:marRight w:val="0"/>
              <w:marTop w:val="0"/>
              <w:marBottom w:val="0"/>
              <w:divBdr>
                <w:top w:val="none" w:sz="0" w:space="0" w:color="auto"/>
                <w:left w:val="none" w:sz="0" w:space="0" w:color="auto"/>
                <w:bottom w:val="none" w:sz="0" w:space="0" w:color="auto"/>
                <w:right w:val="none" w:sz="0" w:space="0" w:color="auto"/>
              </w:divBdr>
              <w:divsChild>
                <w:div w:id="744227826">
                  <w:marLeft w:val="0"/>
                  <w:marRight w:val="0"/>
                  <w:marTop w:val="0"/>
                  <w:marBottom w:val="0"/>
                  <w:divBdr>
                    <w:top w:val="none" w:sz="0" w:space="0" w:color="auto"/>
                    <w:left w:val="none" w:sz="0" w:space="0" w:color="auto"/>
                    <w:bottom w:val="none" w:sz="0" w:space="0" w:color="auto"/>
                    <w:right w:val="none" w:sz="0" w:space="0" w:color="auto"/>
                  </w:divBdr>
                  <w:divsChild>
                    <w:div w:id="16746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18453">
          <w:marLeft w:val="0"/>
          <w:marRight w:val="0"/>
          <w:marTop w:val="180"/>
          <w:marBottom w:val="0"/>
          <w:divBdr>
            <w:top w:val="none" w:sz="0" w:space="0" w:color="auto"/>
            <w:left w:val="none" w:sz="0" w:space="0" w:color="auto"/>
            <w:bottom w:val="none" w:sz="0" w:space="0" w:color="auto"/>
            <w:right w:val="none" w:sz="0" w:space="0" w:color="auto"/>
          </w:divBdr>
          <w:divsChild>
            <w:div w:id="2177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1180">
      <w:bodyDiv w:val="1"/>
      <w:marLeft w:val="0"/>
      <w:marRight w:val="0"/>
      <w:marTop w:val="0"/>
      <w:marBottom w:val="0"/>
      <w:divBdr>
        <w:top w:val="none" w:sz="0" w:space="0" w:color="auto"/>
        <w:left w:val="none" w:sz="0" w:space="0" w:color="auto"/>
        <w:bottom w:val="none" w:sz="0" w:space="0" w:color="auto"/>
        <w:right w:val="none" w:sz="0" w:space="0" w:color="auto"/>
      </w:divBdr>
    </w:div>
    <w:div w:id="1127697040">
      <w:bodyDiv w:val="1"/>
      <w:marLeft w:val="0"/>
      <w:marRight w:val="0"/>
      <w:marTop w:val="0"/>
      <w:marBottom w:val="0"/>
      <w:divBdr>
        <w:top w:val="none" w:sz="0" w:space="0" w:color="auto"/>
        <w:left w:val="none" w:sz="0" w:space="0" w:color="auto"/>
        <w:bottom w:val="none" w:sz="0" w:space="0" w:color="auto"/>
        <w:right w:val="none" w:sz="0" w:space="0" w:color="auto"/>
      </w:divBdr>
    </w:div>
    <w:div w:id="1174147525">
      <w:bodyDiv w:val="1"/>
      <w:marLeft w:val="0"/>
      <w:marRight w:val="0"/>
      <w:marTop w:val="0"/>
      <w:marBottom w:val="0"/>
      <w:divBdr>
        <w:top w:val="none" w:sz="0" w:space="0" w:color="auto"/>
        <w:left w:val="none" w:sz="0" w:space="0" w:color="auto"/>
        <w:bottom w:val="none" w:sz="0" w:space="0" w:color="auto"/>
        <w:right w:val="none" w:sz="0" w:space="0" w:color="auto"/>
      </w:divBdr>
      <w:divsChild>
        <w:div w:id="747655324">
          <w:marLeft w:val="562"/>
          <w:marRight w:val="0"/>
          <w:marTop w:val="0"/>
          <w:marBottom w:val="0"/>
          <w:divBdr>
            <w:top w:val="none" w:sz="0" w:space="0" w:color="auto"/>
            <w:left w:val="none" w:sz="0" w:space="0" w:color="auto"/>
            <w:bottom w:val="none" w:sz="0" w:space="0" w:color="auto"/>
            <w:right w:val="none" w:sz="0" w:space="0" w:color="auto"/>
          </w:divBdr>
        </w:div>
        <w:div w:id="1497845431">
          <w:marLeft w:val="562"/>
          <w:marRight w:val="0"/>
          <w:marTop w:val="0"/>
          <w:marBottom w:val="0"/>
          <w:divBdr>
            <w:top w:val="none" w:sz="0" w:space="0" w:color="auto"/>
            <w:left w:val="none" w:sz="0" w:space="0" w:color="auto"/>
            <w:bottom w:val="none" w:sz="0" w:space="0" w:color="auto"/>
            <w:right w:val="none" w:sz="0" w:space="0" w:color="auto"/>
          </w:divBdr>
        </w:div>
        <w:div w:id="950165325">
          <w:marLeft w:val="562"/>
          <w:marRight w:val="0"/>
          <w:marTop w:val="0"/>
          <w:marBottom w:val="0"/>
          <w:divBdr>
            <w:top w:val="none" w:sz="0" w:space="0" w:color="auto"/>
            <w:left w:val="none" w:sz="0" w:space="0" w:color="auto"/>
            <w:bottom w:val="none" w:sz="0" w:space="0" w:color="auto"/>
            <w:right w:val="none" w:sz="0" w:space="0" w:color="auto"/>
          </w:divBdr>
        </w:div>
        <w:div w:id="1218739359">
          <w:marLeft w:val="562"/>
          <w:marRight w:val="0"/>
          <w:marTop w:val="0"/>
          <w:marBottom w:val="0"/>
          <w:divBdr>
            <w:top w:val="none" w:sz="0" w:space="0" w:color="auto"/>
            <w:left w:val="none" w:sz="0" w:space="0" w:color="auto"/>
            <w:bottom w:val="none" w:sz="0" w:space="0" w:color="auto"/>
            <w:right w:val="none" w:sz="0" w:space="0" w:color="auto"/>
          </w:divBdr>
        </w:div>
        <w:div w:id="1592155025">
          <w:marLeft w:val="562"/>
          <w:marRight w:val="0"/>
          <w:marTop w:val="0"/>
          <w:marBottom w:val="0"/>
          <w:divBdr>
            <w:top w:val="none" w:sz="0" w:space="0" w:color="auto"/>
            <w:left w:val="none" w:sz="0" w:space="0" w:color="auto"/>
            <w:bottom w:val="none" w:sz="0" w:space="0" w:color="auto"/>
            <w:right w:val="none" w:sz="0" w:space="0" w:color="auto"/>
          </w:divBdr>
        </w:div>
        <w:div w:id="21901664">
          <w:marLeft w:val="562"/>
          <w:marRight w:val="0"/>
          <w:marTop w:val="0"/>
          <w:marBottom w:val="0"/>
          <w:divBdr>
            <w:top w:val="none" w:sz="0" w:space="0" w:color="auto"/>
            <w:left w:val="none" w:sz="0" w:space="0" w:color="auto"/>
            <w:bottom w:val="none" w:sz="0" w:space="0" w:color="auto"/>
            <w:right w:val="none" w:sz="0" w:space="0" w:color="auto"/>
          </w:divBdr>
        </w:div>
        <w:div w:id="1261792686">
          <w:marLeft w:val="562"/>
          <w:marRight w:val="0"/>
          <w:marTop w:val="0"/>
          <w:marBottom w:val="0"/>
          <w:divBdr>
            <w:top w:val="none" w:sz="0" w:space="0" w:color="auto"/>
            <w:left w:val="none" w:sz="0" w:space="0" w:color="auto"/>
            <w:bottom w:val="none" w:sz="0" w:space="0" w:color="auto"/>
            <w:right w:val="none" w:sz="0" w:space="0" w:color="auto"/>
          </w:divBdr>
        </w:div>
        <w:div w:id="296643041">
          <w:marLeft w:val="562"/>
          <w:marRight w:val="0"/>
          <w:marTop w:val="0"/>
          <w:marBottom w:val="0"/>
          <w:divBdr>
            <w:top w:val="none" w:sz="0" w:space="0" w:color="auto"/>
            <w:left w:val="none" w:sz="0" w:space="0" w:color="auto"/>
            <w:bottom w:val="none" w:sz="0" w:space="0" w:color="auto"/>
            <w:right w:val="none" w:sz="0" w:space="0" w:color="auto"/>
          </w:divBdr>
        </w:div>
        <w:div w:id="1598904701">
          <w:marLeft w:val="562"/>
          <w:marRight w:val="0"/>
          <w:marTop w:val="0"/>
          <w:marBottom w:val="0"/>
          <w:divBdr>
            <w:top w:val="none" w:sz="0" w:space="0" w:color="auto"/>
            <w:left w:val="none" w:sz="0" w:space="0" w:color="auto"/>
            <w:bottom w:val="none" w:sz="0" w:space="0" w:color="auto"/>
            <w:right w:val="none" w:sz="0" w:space="0" w:color="auto"/>
          </w:divBdr>
        </w:div>
      </w:divsChild>
    </w:div>
    <w:div w:id="1176456151">
      <w:bodyDiv w:val="1"/>
      <w:marLeft w:val="0"/>
      <w:marRight w:val="0"/>
      <w:marTop w:val="0"/>
      <w:marBottom w:val="0"/>
      <w:divBdr>
        <w:top w:val="none" w:sz="0" w:space="0" w:color="auto"/>
        <w:left w:val="none" w:sz="0" w:space="0" w:color="auto"/>
        <w:bottom w:val="none" w:sz="0" w:space="0" w:color="auto"/>
        <w:right w:val="none" w:sz="0" w:space="0" w:color="auto"/>
      </w:divBdr>
      <w:divsChild>
        <w:div w:id="78646532">
          <w:marLeft w:val="0"/>
          <w:marRight w:val="0"/>
          <w:marTop w:val="0"/>
          <w:marBottom w:val="0"/>
          <w:divBdr>
            <w:top w:val="none" w:sz="0" w:space="0" w:color="auto"/>
            <w:left w:val="none" w:sz="0" w:space="0" w:color="auto"/>
            <w:bottom w:val="none" w:sz="0" w:space="0" w:color="auto"/>
            <w:right w:val="none" w:sz="0" w:space="0" w:color="auto"/>
          </w:divBdr>
          <w:divsChild>
            <w:div w:id="1364480126">
              <w:marLeft w:val="0"/>
              <w:marRight w:val="0"/>
              <w:marTop w:val="0"/>
              <w:marBottom w:val="0"/>
              <w:divBdr>
                <w:top w:val="none" w:sz="0" w:space="0" w:color="auto"/>
                <w:left w:val="none" w:sz="0" w:space="0" w:color="auto"/>
                <w:bottom w:val="none" w:sz="0" w:space="0" w:color="auto"/>
                <w:right w:val="none" w:sz="0" w:space="0" w:color="auto"/>
              </w:divBdr>
              <w:divsChild>
                <w:div w:id="487133754">
                  <w:marLeft w:val="0"/>
                  <w:marRight w:val="0"/>
                  <w:marTop w:val="0"/>
                  <w:marBottom w:val="0"/>
                  <w:divBdr>
                    <w:top w:val="none" w:sz="0" w:space="0" w:color="auto"/>
                    <w:left w:val="none" w:sz="0" w:space="0" w:color="auto"/>
                    <w:bottom w:val="none" w:sz="0" w:space="0" w:color="auto"/>
                    <w:right w:val="none" w:sz="0" w:space="0" w:color="auto"/>
                  </w:divBdr>
                  <w:divsChild>
                    <w:div w:id="9285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29104">
          <w:marLeft w:val="0"/>
          <w:marRight w:val="0"/>
          <w:marTop w:val="180"/>
          <w:marBottom w:val="0"/>
          <w:divBdr>
            <w:top w:val="none" w:sz="0" w:space="0" w:color="auto"/>
            <w:left w:val="none" w:sz="0" w:space="0" w:color="auto"/>
            <w:bottom w:val="none" w:sz="0" w:space="0" w:color="auto"/>
            <w:right w:val="none" w:sz="0" w:space="0" w:color="auto"/>
          </w:divBdr>
          <w:divsChild>
            <w:div w:id="17631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78899">
      <w:bodyDiv w:val="1"/>
      <w:marLeft w:val="0"/>
      <w:marRight w:val="0"/>
      <w:marTop w:val="0"/>
      <w:marBottom w:val="0"/>
      <w:divBdr>
        <w:top w:val="none" w:sz="0" w:space="0" w:color="auto"/>
        <w:left w:val="none" w:sz="0" w:space="0" w:color="auto"/>
        <w:bottom w:val="none" w:sz="0" w:space="0" w:color="auto"/>
        <w:right w:val="none" w:sz="0" w:space="0" w:color="auto"/>
      </w:divBdr>
    </w:div>
    <w:div w:id="1314211644">
      <w:bodyDiv w:val="1"/>
      <w:marLeft w:val="0"/>
      <w:marRight w:val="0"/>
      <w:marTop w:val="0"/>
      <w:marBottom w:val="0"/>
      <w:divBdr>
        <w:top w:val="none" w:sz="0" w:space="0" w:color="auto"/>
        <w:left w:val="none" w:sz="0" w:space="0" w:color="auto"/>
        <w:bottom w:val="none" w:sz="0" w:space="0" w:color="auto"/>
        <w:right w:val="none" w:sz="0" w:space="0" w:color="auto"/>
      </w:divBdr>
    </w:div>
    <w:div w:id="1443962218">
      <w:bodyDiv w:val="1"/>
      <w:marLeft w:val="0"/>
      <w:marRight w:val="0"/>
      <w:marTop w:val="0"/>
      <w:marBottom w:val="0"/>
      <w:divBdr>
        <w:top w:val="none" w:sz="0" w:space="0" w:color="auto"/>
        <w:left w:val="none" w:sz="0" w:space="0" w:color="auto"/>
        <w:bottom w:val="none" w:sz="0" w:space="0" w:color="auto"/>
        <w:right w:val="none" w:sz="0" w:space="0" w:color="auto"/>
      </w:divBdr>
    </w:div>
    <w:div w:id="1504201503">
      <w:bodyDiv w:val="1"/>
      <w:marLeft w:val="0"/>
      <w:marRight w:val="0"/>
      <w:marTop w:val="0"/>
      <w:marBottom w:val="0"/>
      <w:divBdr>
        <w:top w:val="none" w:sz="0" w:space="0" w:color="auto"/>
        <w:left w:val="none" w:sz="0" w:space="0" w:color="auto"/>
        <w:bottom w:val="none" w:sz="0" w:space="0" w:color="auto"/>
        <w:right w:val="none" w:sz="0" w:space="0" w:color="auto"/>
      </w:divBdr>
      <w:divsChild>
        <w:div w:id="614485118">
          <w:marLeft w:val="0"/>
          <w:marRight w:val="0"/>
          <w:marTop w:val="0"/>
          <w:marBottom w:val="0"/>
          <w:divBdr>
            <w:top w:val="none" w:sz="0" w:space="0" w:color="auto"/>
            <w:left w:val="none" w:sz="0" w:space="0" w:color="auto"/>
            <w:bottom w:val="none" w:sz="0" w:space="0" w:color="auto"/>
            <w:right w:val="none" w:sz="0" w:space="0" w:color="auto"/>
          </w:divBdr>
          <w:divsChild>
            <w:div w:id="743603183">
              <w:marLeft w:val="0"/>
              <w:marRight w:val="0"/>
              <w:marTop w:val="0"/>
              <w:marBottom w:val="0"/>
              <w:divBdr>
                <w:top w:val="none" w:sz="0" w:space="0" w:color="auto"/>
                <w:left w:val="none" w:sz="0" w:space="0" w:color="auto"/>
                <w:bottom w:val="none" w:sz="0" w:space="0" w:color="auto"/>
                <w:right w:val="none" w:sz="0" w:space="0" w:color="auto"/>
              </w:divBdr>
              <w:divsChild>
                <w:div w:id="930968905">
                  <w:marLeft w:val="0"/>
                  <w:marRight w:val="0"/>
                  <w:marTop w:val="0"/>
                  <w:marBottom w:val="0"/>
                  <w:divBdr>
                    <w:top w:val="none" w:sz="0" w:space="0" w:color="auto"/>
                    <w:left w:val="none" w:sz="0" w:space="0" w:color="auto"/>
                    <w:bottom w:val="none" w:sz="0" w:space="0" w:color="auto"/>
                    <w:right w:val="none" w:sz="0" w:space="0" w:color="auto"/>
                  </w:divBdr>
                  <w:divsChild>
                    <w:div w:id="18198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3295">
          <w:marLeft w:val="0"/>
          <w:marRight w:val="0"/>
          <w:marTop w:val="180"/>
          <w:marBottom w:val="0"/>
          <w:divBdr>
            <w:top w:val="none" w:sz="0" w:space="0" w:color="auto"/>
            <w:left w:val="none" w:sz="0" w:space="0" w:color="auto"/>
            <w:bottom w:val="none" w:sz="0" w:space="0" w:color="auto"/>
            <w:right w:val="none" w:sz="0" w:space="0" w:color="auto"/>
          </w:divBdr>
          <w:divsChild>
            <w:div w:id="2972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125">
      <w:bodyDiv w:val="1"/>
      <w:marLeft w:val="0"/>
      <w:marRight w:val="0"/>
      <w:marTop w:val="0"/>
      <w:marBottom w:val="0"/>
      <w:divBdr>
        <w:top w:val="none" w:sz="0" w:space="0" w:color="auto"/>
        <w:left w:val="none" w:sz="0" w:space="0" w:color="auto"/>
        <w:bottom w:val="none" w:sz="0" w:space="0" w:color="auto"/>
        <w:right w:val="none" w:sz="0" w:space="0" w:color="auto"/>
      </w:divBdr>
    </w:div>
    <w:div w:id="1582134728">
      <w:bodyDiv w:val="1"/>
      <w:marLeft w:val="0"/>
      <w:marRight w:val="0"/>
      <w:marTop w:val="0"/>
      <w:marBottom w:val="0"/>
      <w:divBdr>
        <w:top w:val="none" w:sz="0" w:space="0" w:color="auto"/>
        <w:left w:val="none" w:sz="0" w:space="0" w:color="auto"/>
        <w:bottom w:val="none" w:sz="0" w:space="0" w:color="auto"/>
        <w:right w:val="none" w:sz="0" w:space="0" w:color="auto"/>
      </w:divBdr>
      <w:divsChild>
        <w:div w:id="1361782907">
          <w:marLeft w:val="0"/>
          <w:marRight w:val="0"/>
          <w:marTop w:val="0"/>
          <w:marBottom w:val="0"/>
          <w:divBdr>
            <w:top w:val="none" w:sz="0" w:space="0" w:color="auto"/>
            <w:left w:val="none" w:sz="0" w:space="0" w:color="auto"/>
            <w:bottom w:val="none" w:sz="0" w:space="0" w:color="auto"/>
            <w:right w:val="none" w:sz="0" w:space="0" w:color="auto"/>
          </w:divBdr>
          <w:divsChild>
            <w:div w:id="286550883">
              <w:marLeft w:val="0"/>
              <w:marRight w:val="0"/>
              <w:marTop w:val="0"/>
              <w:marBottom w:val="0"/>
              <w:divBdr>
                <w:top w:val="none" w:sz="0" w:space="0" w:color="auto"/>
                <w:left w:val="none" w:sz="0" w:space="0" w:color="auto"/>
                <w:bottom w:val="none" w:sz="0" w:space="0" w:color="auto"/>
                <w:right w:val="none" w:sz="0" w:space="0" w:color="auto"/>
              </w:divBdr>
              <w:divsChild>
                <w:div w:id="1218013031">
                  <w:marLeft w:val="0"/>
                  <w:marRight w:val="0"/>
                  <w:marTop w:val="0"/>
                  <w:marBottom w:val="0"/>
                  <w:divBdr>
                    <w:top w:val="none" w:sz="0" w:space="0" w:color="auto"/>
                    <w:left w:val="none" w:sz="0" w:space="0" w:color="auto"/>
                    <w:bottom w:val="none" w:sz="0" w:space="0" w:color="auto"/>
                    <w:right w:val="none" w:sz="0" w:space="0" w:color="auto"/>
                  </w:divBdr>
                  <w:divsChild>
                    <w:div w:id="11764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39143">
          <w:marLeft w:val="0"/>
          <w:marRight w:val="0"/>
          <w:marTop w:val="180"/>
          <w:marBottom w:val="0"/>
          <w:divBdr>
            <w:top w:val="none" w:sz="0" w:space="0" w:color="auto"/>
            <w:left w:val="none" w:sz="0" w:space="0" w:color="auto"/>
            <w:bottom w:val="none" w:sz="0" w:space="0" w:color="auto"/>
            <w:right w:val="none" w:sz="0" w:space="0" w:color="auto"/>
          </w:divBdr>
          <w:divsChild>
            <w:div w:id="209991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172">
      <w:bodyDiv w:val="1"/>
      <w:marLeft w:val="0"/>
      <w:marRight w:val="0"/>
      <w:marTop w:val="0"/>
      <w:marBottom w:val="0"/>
      <w:divBdr>
        <w:top w:val="none" w:sz="0" w:space="0" w:color="auto"/>
        <w:left w:val="none" w:sz="0" w:space="0" w:color="auto"/>
        <w:bottom w:val="none" w:sz="0" w:space="0" w:color="auto"/>
        <w:right w:val="none" w:sz="0" w:space="0" w:color="auto"/>
      </w:divBdr>
      <w:divsChild>
        <w:div w:id="380636748">
          <w:marLeft w:val="547"/>
          <w:marRight w:val="0"/>
          <w:marTop w:val="0"/>
          <w:marBottom w:val="0"/>
          <w:divBdr>
            <w:top w:val="none" w:sz="0" w:space="0" w:color="auto"/>
            <w:left w:val="none" w:sz="0" w:space="0" w:color="auto"/>
            <w:bottom w:val="none" w:sz="0" w:space="0" w:color="auto"/>
            <w:right w:val="none" w:sz="0" w:space="0" w:color="auto"/>
          </w:divBdr>
        </w:div>
        <w:div w:id="873465412">
          <w:marLeft w:val="547"/>
          <w:marRight w:val="0"/>
          <w:marTop w:val="0"/>
          <w:marBottom w:val="160"/>
          <w:divBdr>
            <w:top w:val="none" w:sz="0" w:space="0" w:color="auto"/>
            <w:left w:val="none" w:sz="0" w:space="0" w:color="auto"/>
            <w:bottom w:val="none" w:sz="0" w:space="0" w:color="auto"/>
            <w:right w:val="none" w:sz="0" w:space="0" w:color="auto"/>
          </w:divBdr>
        </w:div>
      </w:divsChild>
    </w:div>
    <w:div w:id="1760636022">
      <w:bodyDiv w:val="1"/>
      <w:marLeft w:val="0"/>
      <w:marRight w:val="0"/>
      <w:marTop w:val="0"/>
      <w:marBottom w:val="0"/>
      <w:divBdr>
        <w:top w:val="none" w:sz="0" w:space="0" w:color="auto"/>
        <w:left w:val="none" w:sz="0" w:space="0" w:color="auto"/>
        <w:bottom w:val="none" w:sz="0" w:space="0" w:color="auto"/>
        <w:right w:val="none" w:sz="0" w:space="0" w:color="auto"/>
      </w:divBdr>
      <w:divsChild>
        <w:div w:id="1909804375">
          <w:marLeft w:val="0"/>
          <w:marRight w:val="0"/>
          <w:marTop w:val="0"/>
          <w:marBottom w:val="0"/>
          <w:divBdr>
            <w:top w:val="none" w:sz="0" w:space="0" w:color="auto"/>
            <w:left w:val="none" w:sz="0" w:space="0" w:color="auto"/>
            <w:bottom w:val="none" w:sz="0" w:space="0" w:color="auto"/>
            <w:right w:val="none" w:sz="0" w:space="0" w:color="auto"/>
          </w:divBdr>
          <w:divsChild>
            <w:div w:id="1739325853">
              <w:marLeft w:val="0"/>
              <w:marRight w:val="0"/>
              <w:marTop w:val="0"/>
              <w:marBottom w:val="0"/>
              <w:divBdr>
                <w:top w:val="none" w:sz="0" w:space="0" w:color="auto"/>
                <w:left w:val="none" w:sz="0" w:space="0" w:color="auto"/>
                <w:bottom w:val="none" w:sz="0" w:space="0" w:color="auto"/>
                <w:right w:val="none" w:sz="0" w:space="0" w:color="auto"/>
              </w:divBdr>
              <w:divsChild>
                <w:div w:id="1721128832">
                  <w:marLeft w:val="0"/>
                  <w:marRight w:val="0"/>
                  <w:marTop w:val="0"/>
                  <w:marBottom w:val="0"/>
                  <w:divBdr>
                    <w:top w:val="none" w:sz="0" w:space="0" w:color="auto"/>
                    <w:left w:val="none" w:sz="0" w:space="0" w:color="auto"/>
                    <w:bottom w:val="none" w:sz="0" w:space="0" w:color="auto"/>
                    <w:right w:val="none" w:sz="0" w:space="0" w:color="auto"/>
                  </w:divBdr>
                  <w:divsChild>
                    <w:div w:id="4547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5383">
          <w:marLeft w:val="0"/>
          <w:marRight w:val="0"/>
          <w:marTop w:val="180"/>
          <w:marBottom w:val="0"/>
          <w:divBdr>
            <w:top w:val="none" w:sz="0" w:space="0" w:color="auto"/>
            <w:left w:val="none" w:sz="0" w:space="0" w:color="auto"/>
            <w:bottom w:val="none" w:sz="0" w:space="0" w:color="auto"/>
            <w:right w:val="none" w:sz="0" w:space="0" w:color="auto"/>
          </w:divBdr>
          <w:divsChild>
            <w:div w:id="85761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6911">
      <w:bodyDiv w:val="1"/>
      <w:marLeft w:val="0"/>
      <w:marRight w:val="0"/>
      <w:marTop w:val="0"/>
      <w:marBottom w:val="0"/>
      <w:divBdr>
        <w:top w:val="none" w:sz="0" w:space="0" w:color="auto"/>
        <w:left w:val="none" w:sz="0" w:space="0" w:color="auto"/>
        <w:bottom w:val="none" w:sz="0" w:space="0" w:color="auto"/>
        <w:right w:val="none" w:sz="0" w:space="0" w:color="auto"/>
      </w:divBdr>
    </w:div>
    <w:div w:id="1915890538">
      <w:bodyDiv w:val="1"/>
      <w:marLeft w:val="0"/>
      <w:marRight w:val="0"/>
      <w:marTop w:val="0"/>
      <w:marBottom w:val="0"/>
      <w:divBdr>
        <w:top w:val="none" w:sz="0" w:space="0" w:color="auto"/>
        <w:left w:val="none" w:sz="0" w:space="0" w:color="auto"/>
        <w:bottom w:val="none" w:sz="0" w:space="0" w:color="auto"/>
        <w:right w:val="none" w:sz="0" w:space="0" w:color="auto"/>
      </w:divBdr>
      <w:divsChild>
        <w:div w:id="1484159624">
          <w:marLeft w:val="0"/>
          <w:marRight w:val="0"/>
          <w:marTop w:val="0"/>
          <w:marBottom w:val="0"/>
          <w:divBdr>
            <w:top w:val="none" w:sz="0" w:space="0" w:color="auto"/>
            <w:left w:val="none" w:sz="0" w:space="0" w:color="auto"/>
            <w:bottom w:val="none" w:sz="0" w:space="0" w:color="auto"/>
            <w:right w:val="none" w:sz="0" w:space="0" w:color="auto"/>
          </w:divBdr>
          <w:divsChild>
            <w:div w:id="1505438535">
              <w:marLeft w:val="0"/>
              <w:marRight w:val="0"/>
              <w:marTop w:val="0"/>
              <w:marBottom w:val="0"/>
              <w:divBdr>
                <w:top w:val="none" w:sz="0" w:space="0" w:color="auto"/>
                <w:left w:val="none" w:sz="0" w:space="0" w:color="auto"/>
                <w:bottom w:val="none" w:sz="0" w:space="0" w:color="auto"/>
                <w:right w:val="none" w:sz="0" w:space="0" w:color="auto"/>
              </w:divBdr>
              <w:divsChild>
                <w:div w:id="929118715">
                  <w:marLeft w:val="0"/>
                  <w:marRight w:val="0"/>
                  <w:marTop w:val="0"/>
                  <w:marBottom w:val="0"/>
                  <w:divBdr>
                    <w:top w:val="none" w:sz="0" w:space="0" w:color="auto"/>
                    <w:left w:val="none" w:sz="0" w:space="0" w:color="auto"/>
                    <w:bottom w:val="none" w:sz="0" w:space="0" w:color="auto"/>
                    <w:right w:val="none" w:sz="0" w:space="0" w:color="auto"/>
                  </w:divBdr>
                  <w:divsChild>
                    <w:div w:id="2539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5183">
          <w:marLeft w:val="0"/>
          <w:marRight w:val="0"/>
          <w:marTop w:val="180"/>
          <w:marBottom w:val="0"/>
          <w:divBdr>
            <w:top w:val="none" w:sz="0" w:space="0" w:color="auto"/>
            <w:left w:val="none" w:sz="0" w:space="0" w:color="auto"/>
            <w:bottom w:val="none" w:sz="0" w:space="0" w:color="auto"/>
            <w:right w:val="none" w:sz="0" w:space="0" w:color="auto"/>
          </w:divBdr>
          <w:divsChild>
            <w:div w:id="13081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orms.gle/uS5cWzubhHTb19ew9" TargetMode="External"/><Relationship Id="rId18" Type="http://schemas.openxmlformats.org/officeDocument/2006/relationships/hyperlink" Target="https://www.unitetheunion.org/contact-us" TargetMode="External"/><Relationship Id="rId26" Type="http://schemas.openxmlformats.org/officeDocument/2006/relationships/hyperlink" Target="https://www.nasuwt.org.uk/contact-us.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ison.org.uk/about/contact/" TargetMode="External"/><Relationship Id="rId34" Type="http://schemas.openxmlformats.org/officeDocument/2006/relationships/hyperlink" Target="https://www.legislation.gov.uk/ukpga/2010/15/contents" TargetMode="External"/><Relationship Id="rId7" Type="http://schemas.openxmlformats.org/officeDocument/2006/relationships/endnotes" Target="endnotes.xml"/><Relationship Id="rId12" Type="http://schemas.openxmlformats.org/officeDocument/2006/relationships/hyperlink" Target="https://education.southwark.gov.uk/schoolshr/policies-and-procedures" TargetMode="External"/><Relationship Id="rId17" Type="http://schemas.openxmlformats.org/officeDocument/2006/relationships/hyperlink" Target="https://www.gmb.org.uk/gmb-regions" TargetMode="External"/><Relationship Id="rId25" Type="http://schemas.openxmlformats.org/officeDocument/2006/relationships/hyperlink" Target="https://www.nasuwt.org.uk/contact-us.html" TargetMode="External"/><Relationship Id="rId33" Type="http://schemas.openxmlformats.org/officeDocument/2006/relationships/hyperlink" Target="https://www.police.uk/pu/contact-us/what-and-how-to-report/how-to-report/"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mb.org.uk/gmb-regions" TargetMode="External"/><Relationship Id="rId20" Type="http://schemas.openxmlformats.org/officeDocument/2006/relationships/hyperlink" Target="https://www.unison.org.uk/about/contact/" TargetMode="External"/><Relationship Id="rId29" Type="http://schemas.openxmlformats.org/officeDocument/2006/relationships/hyperlink" Target="https://community-tu.org/homepage/get-help-n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neu.org.uk/about/contact-us" TargetMode="External"/><Relationship Id="rId32" Type="http://schemas.openxmlformats.org/officeDocument/2006/relationships/hyperlink" Target="https://www.rightsofwomen.org.uk/" TargetMode="External"/><Relationship Id="rId37" Type="http://schemas.openxmlformats.org/officeDocument/2006/relationships/hyperlink" Target="https://eur-lex.europa.eu/legal-content/EN/TXT/?uri=CELEX%3A31992H0131" TargetMode="External"/><Relationship Id="rId5" Type="http://schemas.openxmlformats.org/officeDocument/2006/relationships/webSettings" Target="webSettings.xml"/><Relationship Id="rId15" Type="http://schemas.openxmlformats.org/officeDocument/2006/relationships/hyperlink" Target="https://www.acas.org.uk/contact" TargetMode="External"/><Relationship Id="rId23" Type="http://schemas.openxmlformats.org/officeDocument/2006/relationships/hyperlink" Target="https://neu.org.uk/about/contact-us" TargetMode="External"/><Relationship Id="rId28" Type="http://schemas.openxmlformats.org/officeDocument/2006/relationships/hyperlink" Target="https://www.naht.org.uk/About-Us/Contact-us" TargetMode="External"/><Relationship Id="rId36" Type="http://schemas.openxmlformats.org/officeDocument/2006/relationships/hyperlink" Target="https://www.equalityhumanrights.com/guidance/sexual-harassment-and-harassment-work-technical-guidance" TargetMode="External"/><Relationship Id="rId10" Type="http://schemas.openxmlformats.org/officeDocument/2006/relationships/image" Target="media/image3.png"/><Relationship Id="rId19" Type="http://schemas.openxmlformats.org/officeDocument/2006/relationships/hyperlink" Target="https://www.unitetheunion.org/contact-us" TargetMode="External"/><Relationship Id="rId31" Type="http://schemas.openxmlformats.org/officeDocument/2006/relationships/hyperlink" Target="https://www.rightsofwomen.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cas.org.uk/contact" TargetMode="External"/><Relationship Id="rId22" Type="http://schemas.openxmlformats.org/officeDocument/2006/relationships/hyperlink" Target="https://neu.org.uk/about/contact-us" TargetMode="External"/><Relationship Id="rId27" Type="http://schemas.openxmlformats.org/officeDocument/2006/relationships/hyperlink" Target="https://www.naht.org.uk/About-Us/Contact-us" TargetMode="External"/><Relationship Id="rId30" Type="http://schemas.openxmlformats.org/officeDocument/2006/relationships/hyperlink" Target="https://community-tu.org/homepage/get-help-now/" TargetMode="External"/><Relationship Id="rId35" Type="http://schemas.openxmlformats.org/officeDocument/2006/relationships/hyperlink" Target="https://www.legislation.gov.uk/ukpga/2023/51/notes/division/6/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5D65-E418-4404-8C09-4AE8A0A9E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5648</Words>
  <Characters>32199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London Borough of Southwark</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Fiona</dc:creator>
  <cp:keywords/>
  <dc:description/>
  <cp:lastModifiedBy>Brown, Fiona</cp:lastModifiedBy>
  <cp:revision>3</cp:revision>
  <cp:lastPrinted>2024-02-06T13:10:00Z</cp:lastPrinted>
  <dcterms:created xsi:type="dcterms:W3CDTF">2024-11-07T18:47:00Z</dcterms:created>
  <dcterms:modified xsi:type="dcterms:W3CDTF">2024-11-07T18:47:00Z</dcterms:modified>
</cp:coreProperties>
</file>