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0C7B5" w14:textId="4EE4C86E" w:rsidR="003F0377" w:rsidRDefault="003F0377" w:rsidP="003F0377">
      <w:pPr>
        <w:shd w:val="clear" w:color="auto" w:fill="FFFFFF"/>
        <w:spacing w:after="0" w:line="240" w:lineRule="auto"/>
        <w:outlineLvl w:val="1"/>
        <w:rPr>
          <w:rFonts w:ascii="Roboto" w:eastAsia="Times New Roman" w:hAnsi="Roboto" w:cs="Times New Roman"/>
          <w:b/>
          <w:bCs/>
          <w:color w:val="202526"/>
          <w:kern w:val="0"/>
          <w:sz w:val="36"/>
          <w:szCs w:val="36"/>
          <w:lang w:eastAsia="en-GB"/>
          <w14:ligatures w14:val="none"/>
        </w:rPr>
      </w:pPr>
      <w:r>
        <w:rPr>
          <w:rFonts w:ascii="Roboto" w:eastAsia="Times New Roman" w:hAnsi="Roboto" w:cs="Times New Roman"/>
          <w:b/>
          <w:bCs/>
          <w:color w:val="202526"/>
          <w:kern w:val="0"/>
          <w:sz w:val="36"/>
          <w:szCs w:val="36"/>
          <w:lang w:eastAsia="en-GB"/>
          <w14:ligatures w14:val="none"/>
        </w:rPr>
        <w:t xml:space="preserve">Guidance on using the model sexual harassment risk assessment </w:t>
      </w:r>
      <w:proofErr w:type="gramStart"/>
      <w:r>
        <w:rPr>
          <w:rFonts w:ascii="Roboto" w:eastAsia="Times New Roman" w:hAnsi="Roboto" w:cs="Times New Roman"/>
          <w:b/>
          <w:bCs/>
          <w:color w:val="202526"/>
          <w:kern w:val="0"/>
          <w:sz w:val="36"/>
          <w:szCs w:val="36"/>
          <w:lang w:eastAsia="en-GB"/>
          <w14:ligatures w14:val="none"/>
        </w:rPr>
        <w:t>form</w:t>
      </w:r>
      <w:proofErr w:type="gramEnd"/>
    </w:p>
    <w:p w14:paraId="609514D3" w14:textId="77777777" w:rsidR="003F0377" w:rsidRDefault="003F0377" w:rsidP="003F0377">
      <w:pPr>
        <w:shd w:val="clear" w:color="auto" w:fill="FFFFFF"/>
        <w:spacing w:after="0" w:line="240" w:lineRule="auto"/>
        <w:outlineLvl w:val="1"/>
        <w:rPr>
          <w:rFonts w:ascii="Roboto" w:eastAsia="Times New Roman" w:hAnsi="Roboto" w:cs="Times New Roman"/>
          <w:b/>
          <w:bCs/>
          <w:color w:val="202526"/>
          <w:kern w:val="0"/>
          <w:sz w:val="36"/>
          <w:szCs w:val="36"/>
          <w:lang w:eastAsia="en-GB"/>
          <w14:ligatures w14:val="none"/>
        </w:rPr>
      </w:pPr>
    </w:p>
    <w:p w14:paraId="43828CA6" w14:textId="217CFDE3" w:rsidR="003F0377" w:rsidRPr="003F0377" w:rsidRDefault="003F0377" w:rsidP="003F0377">
      <w:pPr>
        <w:pStyle w:val="ListParagraph"/>
        <w:numPr>
          <w:ilvl w:val="0"/>
          <w:numId w:val="4"/>
        </w:numPr>
        <w:shd w:val="clear" w:color="auto" w:fill="FFFFFF"/>
        <w:spacing w:after="0" w:line="240" w:lineRule="auto"/>
        <w:jc w:val="both"/>
        <w:outlineLvl w:val="1"/>
        <w:rPr>
          <w:rFonts w:ascii="Arial" w:eastAsia="Times New Roman" w:hAnsi="Arial" w:cs="Arial"/>
          <w:b/>
          <w:bCs/>
          <w:color w:val="202526"/>
          <w:kern w:val="0"/>
          <w:sz w:val="24"/>
          <w:szCs w:val="24"/>
          <w:lang w:eastAsia="en-GB"/>
          <w14:ligatures w14:val="none"/>
        </w:rPr>
      </w:pPr>
      <w:r w:rsidRPr="003F0377">
        <w:rPr>
          <w:rFonts w:ascii="Arial" w:eastAsia="Times New Roman" w:hAnsi="Arial" w:cs="Arial"/>
          <w:b/>
          <w:bCs/>
          <w:color w:val="202526"/>
          <w:kern w:val="0"/>
          <w:sz w:val="24"/>
          <w:szCs w:val="24"/>
          <w:lang w:eastAsia="en-GB"/>
          <w14:ligatures w14:val="none"/>
        </w:rPr>
        <w:t>When to use this model sexual harassment risk assessment form</w:t>
      </w:r>
    </w:p>
    <w:p w14:paraId="10FAE167" w14:textId="77777777" w:rsidR="003F0377" w:rsidRPr="003F0377" w:rsidRDefault="003F0377" w:rsidP="003F0377">
      <w:pPr>
        <w:shd w:val="clear" w:color="auto" w:fill="FFFFFF"/>
        <w:spacing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color w:val="202526"/>
          <w:kern w:val="0"/>
          <w:sz w:val="24"/>
          <w:szCs w:val="24"/>
          <w:lang w:eastAsia="en-GB"/>
          <w14:ligatures w14:val="none"/>
        </w:rPr>
        <w:t xml:space="preserve">Use this model form to assess the risk of workers being exposed to sexual harassment in the workplace and determine reasonable measures that can be taken to minimise those risks. </w:t>
      </w:r>
    </w:p>
    <w:p w14:paraId="69E489D7" w14:textId="77777777" w:rsidR="003F0377" w:rsidRDefault="003F0377" w:rsidP="003F0377">
      <w:pPr>
        <w:shd w:val="clear" w:color="auto" w:fill="FFFFFF"/>
        <w:spacing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color w:val="202526"/>
          <w:kern w:val="0"/>
          <w:sz w:val="24"/>
          <w:szCs w:val="24"/>
          <w:lang w:eastAsia="en-GB"/>
          <w14:ligatures w14:val="none"/>
        </w:rPr>
        <w:t xml:space="preserve">This form provides an example of an organisation that has assessed various risk factors specific to their own organisation. Employers will need to adapt the form to meet their own specific needs and identify risk factors that are relevant to their </w:t>
      </w:r>
      <w:proofErr w:type="gramStart"/>
      <w:r w:rsidRPr="003F0377">
        <w:rPr>
          <w:rFonts w:ascii="Arial" w:eastAsia="Times New Roman" w:hAnsi="Arial" w:cs="Arial"/>
          <w:color w:val="202526"/>
          <w:kern w:val="0"/>
          <w:sz w:val="24"/>
          <w:szCs w:val="24"/>
          <w:lang w:eastAsia="en-GB"/>
          <w14:ligatures w14:val="none"/>
        </w:rPr>
        <w:t>organisation</w:t>
      </w:r>
      <w:proofErr w:type="gramEnd"/>
    </w:p>
    <w:p w14:paraId="060F5781" w14:textId="574E4E5D" w:rsidR="003F0377" w:rsidRPr="003F0377" w:rsidRDefault="003F0377" w:rsidP="003F0377">
      <w:pPr>
        <w:pStyle w:val="ListParagraph"/>
        <w:numPr>
          <w:ilvl w:val="0"/>
          <w:numId w:val="4"/>
        </w:numPr>
        <w:shd w:val="clear" w:color="auto" w:fill="FFFFFF"/>
        <w:spacing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b/>
          <w:bCs/>
          <w:color w:val="202526"/>
          <w:kern w:val="0"/>
          <w:sz w:val="24"/>
          <w:szCs w:val="24"/>
          <w:lang w:eastAsia="en-GB"/>
          <w14:ligatures w14:val="none"/>
        </w:rPr>
        <w:t>How to use this document</w:t>
      </w:r>
    </w:p>
    <w:p w14:paraId="490D6C5F" w14:textId="77777777" w:rsidR="003F0377" w:rsidRDefault="003F0377" w:rsidP="003F0377">
      <w:pPr>
        <w:shd w:val="clear" w:color="auto" w:fill="FFFFFF"/>
        <w:spacing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color w:val="202526"/>
          <w:kern w:val="0"/>
          <w:sz w:val="24"/>
          <w:szCs w:val="24"/>
          <w:lang w:eastAsia="en-GB"/>
          <w14:ligatures w14:val="none"/>
        </w:rPr>
        <w:t>This is an example document and should be adapted to suit your circumstances.</w:t>
      </w:r>
    </w:p>
    <w:p w14:paraId="7B39027F" w14:textId="5EC19245" w:rsidR="003F0377" w:rsidRPr="003F0377" w:rsidRDefault="003F0377" w:rsidP="003F0377">
      <w:pPr>
        <w:pStyle w:val="ListParagraph"/>
        <w:numPr>
          <w:ilvl w:val="0"/>
          <w:numId w:val="4"/>
        </w:numPr>
        <w:shd w:val="clear" w:color="auto" w:fill="FFFFFF"/>
        <w:spacing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b/>
          <w:bCs/>
          <w:color w:val="202526"/>
          <w:kern w:val="0"/>
          <w:sz w:val="24"/>
          <w:szCs w:val="24"/>
          <w:lang w:eastAsia="en-GB"/>
          <w14:ligatures w14:val="none"/>
        </w:rPr>
        <w:t>Key resources</w:t>
      </w:r>
    </w:p>
    <w:p w14:paraId="5521BBD2" w14:textId="77777777" w:rsidR="003F0377" w:rsidRPr="003F0377" w:rsidRDefault="003D2140" w:rsidP="003F0377">
      <w:pPr>
        <w:numPr>
          <w:ilvl w:val="0"/>
          <w:numId w:val="1"/>
        </w:numPr>
        <w:shd w:val="clear" w:color="auto" w:fill="FFFFFF"/>
        <w:spacing w:before="100" w:beforeAutospacing="1" w:after="180" w:line="240" w:lineRule="auto"/>
        <w:jc w:val="both"/>
        <w:rPr>
          <w:rFonts w:ascii="Arial" w:eastAsia="Times New Roman" w:hAnsi="Arial" w:cs="Arial"/>
          <w:color w:val="202526"/>
          <w:kern w:val="0"/>
          <w:sz w:val="24"/>
          <w:szCs w:val="24"/>
          <w:lang w:eastAsia="en-GB"/>
          <w14:ligatures w14:val="none"/>
        </w:rPr>
      </w:pPr>
      <w:hyperlink r:id="rId5" w:history="1">
        <w:r w:rsidR="003F0377" w:rsidRPr="003F0377">
          <w:rPr>
            <w:rFonts w:ascii="Arial" w:eastAsia="Times New Roman" w:hAnsi="Arial" w:cs="Arial"/>
            <w:color w:val="0E728B"/>
            <w:kern w:val="0"/>
            <w:sz w:val="24"/>
            <w:szCs w:val="24"/>
            <w:u w:val="single"/>
            <w:lang w:eastAsia="en-GB"/>
            <w14:ligatures w14:val="none"/>
          </w:rPr>
          <w:t>Employment law guide: Harassment</w:t>
        </w:r>
      </w:hyperlink>
    </w:p>
    <w:p w14:paraId="0A2F4088" w14:textId="77777777" w:rsidR="003F0377" w:rsidRPr="003F0377" w:rsidRDefault="003D2140" w:rsidP="003F0377">
      <w:pPr>
        <w:numPr>
          <w:ilvl w:val="0"/>
          <w:numId w:val="1"/>
        </w:numPr>
        <w:shd w:val="clear" w:color="auto" w:fill="FFFFFF"/>
        <w:spacing w:before="100" w:beforeAutospacing="1" w:after="180" w:line="240" w:lineRule="auto"/>
        <w:jc w:val="both"/>
        <w:rPr>
          <w:rFonts w:ascii="Arial" w:eastAsia="Times New Roman" w:hAnsi="Arial" w:cs="Arial"/>
          <w:color w:val="202526"/>
          <w:kern w:val="0"/>
          <w:sz w:val="24"/>
          <w:szCs w:val="24"/>
          <w:lang w:eastAsia="en-GB"/>
          <w14:ligatures w14:val="none"/>
        </w:rPr>
      </w:pPr>
      <w:hyperlink r:id="rId6" w:history="1">
        <w:r w:rsidR="003F0377" w:rsidRPr="003F0377">
          <w:rPr>
            <w:rFonts w:ascii="Arial" w:eastAsia="Times New Roman" w:hAnsi="Arial" w:cs="Arial"/>
            <w:color w:val="0E728B"/>
            <w:kern w:val="0"/>
            <w:sz w:val="24"/>
            <w:szCs w:val="24"/>
            <w:u w:val="single"/>
            <w:lang w:eastAsia="en-GB"/>
            <w14:ligatures w14:val="none"/>
          </w:rPr>
          <w:t>Leading practice guide on addressing and preventing workplace bullying</w:t>
        </w:r>
      </w:hyperlink>
    </w:p>
    <w:p w14:paraId="755570F9" w14:textId="77777777" w:rsidR="003F0377" w:rsidRDefault="003D2140" w:rsidP="003F0377">
      <w:pPr>
        <w:numPr>
          <w:ilvl w:val="0"/>
          <w:numId w:val="1"/>
        </w:numPr>
        <w:shd w:val="clear" w:color="auto" w:fill="FFFFFF"/>
        <w:spacing w:before="100" w:beforeAutospacing="1" w:after="180" w:line="240" w:lineRule="auto"/>
        <w:jc w:val="both"/>
        <w:rPr>
          <w:rFonts w:ascii="Arial" w:eastAsia="Times New Roman" w:hAnsi="Arial" w:cs="Arial"/>
          <w:color w:val="202526"/>
          <w:kern w:val="0"/>
          <w:sz w:val="24"/>
          <w:szCs w:val="24"/>
          <w:lang w:eastAsia="en-GB"/>
          <w14:ligatures w14:val="none"/>
        </w:rPr>
      </w:pPr>
      <w:hyperlink r:id="rId7" w:history="1">
        <w:r w:rsidR="003F0377" w:rsidRPr="003F0377">
          <w:rPr>
            <w:rFonts w:ascii="Arial" w:eastAsia="Times New Roman" w:hAnsi="Arial" w:cs="Arial"/>
            <w:color w:val="0E728B"/>
            <w:kern w:val="0"/>
            <w:sz w:val="24"/>
            <w:szCs w:val="24"/>
            <w:u w:val="single"/>
            <w:lang w:eastAsia="en-GB"/>
            <w14:ligatures w14:val="none"/>
          </w:rPr>
          <w:t>Leading practice guide on developing and implementing a wellbeing programme</w:t>
        </w:r>
      </w:hyperlink>
    </w:p>
    <w:p w14:paraId="026FBDAA" w14:textId="7CB635A8" w:rsidR="003F0377" w:rsidRPr="003F0377" w:rsidRDefault="003F0377" w:rsidP="003F0377">
      <w:pPr>
        <w:pStyle w:val="ListParagraph"/>
        <w:numPr>
          <w:ilvl w:val="0"/>
          <w:numId w:val="4"/>
        </w:numPr>
        <w:shd w:val="clear" w:color="auto" w:fill="FFFFFF"/>
        <w:spacing w:before="100" w:beforeAutospacing="1"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b/>
          <w:bCs/>
          <w:color w:val="202526"/>
          <w:kern w:val="0"/>
          <w:sz w:val="24"/>
          <w:szCs w:val="24"/>
          <w:lang w:eastAsia="en-GB"/>
          <w14:ligatures w14:val="none"/>
        </w:rPr>
        <w:t>Notes</w:t>
      </w:r>
    </w:p>
    <w:p w14:paraId="13CBC7A0" w14:textId="77777777" w:rsidR="003F0377" w:rsidRPr="003F0377" w:rsidRDefault="003F0377" w:rsidP="003F0377">
      <w:pPr>
        <w:shd w:val="clear" w:color="auto" w:fill="FFFFFF"/>
        <w:spacing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b/>
          <w:bCs/>
          <w:color w:val="202526"/>
          <w:kern w:val="0"/>
          <w:sz w:val="24"/>
          <w:szCs w:val="24"/>
          <w:lang w:eastAsia="en-GB"/>
          <w14:ligatures w14:val="none"/>
        </w:rPr>
        <w:t>The preventative duty:</w:t>
      </w:r>
      <w:r w:rsidRPr="003F0377">
        <w:rPr>
          <w:rFonts w:ascii="Arial" w:eastAsia="Times New Roman" w:hAnsi="Arial" w:cs="Arial"/>
          <w:color w:val="202526"/>
          <w:kern w:val="0"/>
          <w:sz w:val="24"/>
          <w:szCs w:val="24"/>
          <w:lang w:eastAsia="en-GB"/>
          <w14:ligatures w14:val="none"/>
        </w:rPr>
        <w:t> On 26 October 2024, the new </w:t>
      </w:r>
      <w:hyperlink r:id="rId8" w:tgtFrame="_blank" w:tooltip="Worker Protection (Amendment of Equality Act 2010) Act 2023" w:history="1">
        <w:r w:rsidRPr="003F0377">
          <w:rPr>
            <w:rFonts w:ascii="Arial" w:eastAsia="Times New Roman" w:hAnsi="Arial" w:cs="Arial"/>
            <w:color w:val="0E728B"/>
            <w:kern w:val="0"/>
            <w:sz w:val="24"/>
            <w:szCs w:val="24"/>
            <w:u w:val="single"/>
            <w:lang w:eastAsia="en-GB"/>
            <w14:ligatures w14:val="none"/>
          </w:rPr>
          <w:t>Worker Protection (Amendment of Equality Act 2010) Act 2023</w:t>
        </w:r>
      </w:hyperlink>
      <w:r w:rsidRPr="003F0377">
        <w:rPr>
          <w:rFonts w:ascii="Arial" w:eastAsia="Times New Roman" w:hAnsi="Arial" w:cs="Arial"/>
          <w:color w:val="202526"/>
          <w:kern w:val="0"/>
          <w:sz w:val="24"/>
          <w:szCs w:val="24"/>
          <w:lang w:eastAsia="en-GB"/>
          <w14:ligatures w14:val="none"/>
        </w:rPr>
        <w:t xml:space="preserve"> will come into force. The Act introduces a new duty on employers to take reasonable steps to prevent sexual harassment of their workers "in the course of their employment". This means that employers will need to take reasonable proactive measures to prevent sexual harassment from occurring in the workplace. The breadth of the wording in the Act - </w:t>
      </w:r>
      <w:proofErr w:type="spellStart"/>
      <w:proofErr w:type="gramStart"/>
      <w:r w:rsidRPr="003F0377">
        <w:rPr>
          <w:rFonts w:ascii="Arial" w:eastAsia="Times New Roman" w:hAnsi="Arial" w:cs="Arial"/>
          <w:color w:val="202526"/>
          <w:kern w:val="0"/>
          <w:sz w:val="24"/>
          <w:szCs w:val="24"/>
          <w:lang w:eastAsia="en-GB"/>
          <w14:ligatures w14:val="none"/>
        </w:rPr>
        <w:t>ie</w:t>
      </w:r>
      <w:proofErr w:type="spellEnd"/>
      <w:proofErr w:type="gramEnd"/>
      <w:r w:rsidRPr="003F0377">
        <w:rPr>
          <w:rFonts w:ascii="Arial" w:eastAsia="Times New Roman" w:hAnsi="Arial" w:cs="Arial"/>
          <w:color w:val="202526"/>
          <w:kern w:val="0"/>
          <w:sz w:val="24"/>
          <w:szCs w:val="24"/>
          <w:lang w:eastAsia="en-GB"/>
          <w14:ligatures w14:val="none"/>
        </w:rPr>
        <w:t xml:space="preserve"> that employers are required to take reasonable steps to prevent sexual harassment against staff "in the course of their employment" - means that the duty also includes taking steps to prevent sexual harassment by third parties, such as clients and customers.</w:t>
      </w:r>
    </w:p>
    <w:p w14:paraId="0BB606B1" w14:textId="77777777" w:rsidR="003F0377" w:rsidRPr="003F0377" w:rsidRDefault="003F0377" w:rsidP="003F0377">
      <w:pPr>
        <w:shd w:val="clear" w:color="auto" w:fill="FFFFFF"/>
        <w:spacing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b/>
          <w:bCs/>
          <w:color w:val="202526"/>
          <w:kern w:val="0"/>
          <w:sz w:val="24"/>
          <w:szCs w:val="24"/>
          <w:lang w:eastAsia="en-GB"/>
          <w14:ligatures w14:val="none"/>
        </w:rPr>
        <w:t>Risk assessments:</w:t>
      </w:r>
      <w:r w:rsidRPr="003F0377">
        <w:rPr>
          <w:rFonts w:ascii="Arial" w:eastAsia="Times New Roman" w:hAnsi="Arial" w:cs="Arial"/>
          <w:color w:val="202526"/>
          <w:kern w:val="0"/>
          <w:sz w:val="24"/>
          <w:szCs w:val="24"/>
          <w:lang w:eastAsia="en-GB"/>
          <w14:ligatures w14:val="none"/>
        </w:rPr>
        <w:t> The Equality and Human Rights Commission's (EHRC's) </w:t>
      </w:r>
      <w:hyperlink r:id="rId9" w:tgtFrame="_blank" w:tooltip="guidance on sexual harassment and harassment at work" w:history="1">
        <w:r w:rsidRPr="003F0377">
          <w:rPr>
            <w:rFonts w:ascii="Arial" w:eastAsia="Times New Roman" w:hAnsi="Arial" w:cs="Arial"/>
            <w:color w:val="0E728B"/>
            <w:kern w:val="0"/>
            <w:sz w:val="24"/>
            <w:szCs w:val="24"/>
            <w:u w:val="single"/>
            <w:lang w:eastAsia="en-GB"/>
            <w14:ligatures w14:val="none"/>
          </w:rPr>
          <w:t>guidance on sexual harassment and harassment at work</w:t>
        </w:r>
      </w:hyperlink>
      <w:r w:rsidRPr="003F0377">
        <w:rPr>
          <w:rFonts w:ascii="Arial" w:eastAsia="Times New Roman" w:hAnsi="Arial" w:cs="Arial"/>
          <w:color w:val="202526"/>
          <w:kern w:val="0"/>
          <w:sz w:val="24"/>
          <w:szCs w:val="24"/>
          <w:lang w:eastAsia="en-GB"/>
          <w14:ligatures w14:val="none"/>
        </w:rPr>
        <w:t> (finalised on 26 September 2024) makes it clear that an employer is unlikely to be able to comply with the preventative duty if it does not carry out a risk assessment. This highlights the critical role that risk assessments play. They enable employers to evaluate the risk of workers being exposed to sexual harassment in the workplace and the steps that can be taken to minimise those risks.</w:t>
      </w:r>
    </w:p>
    <w:p w14:paraId="612B7C4E" w14:textId="77777777" w:rsidR="003F0377" w:rsidRPr="003F0377" w:rsidRDefault="003F0377" w:rsidP="003F0377">
      <w:pPr>
        <w:shd w:val="clear" w:color="auto" w:fill="FFFFFF"/>
        <w:spacing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b/>
          <w:bCs/>
          <w:color w:val="202526"/>
          <w:kern w:val="0"/>
          <w:sz w:val="24"/>
          <w:szCs w:val="24"/>
          <w:lang w:eastAsia="en-GB"/>
          <w14:ligatures w14:val="none"/>
        </w:rPr>
        <w:t>Factors to consider:</w:t>
      </w:r>
      <w:r w:rsidRPr="003F0377">
        <w:rPr>
          <w:rFonts w:ascii="Arial" w:eastAsia="Times New Roman" w:hAnsi="Arial" w:cs="Arial"/>
          <w:color w:val="202526"/>
          <w:kern w:val="0"/>
          <w:sz w:val="24"/>
          <w:szCs w:val="24"/>
          <w:lang w:eastAsia="en-GB"/>
          <w14:ligatures w14:val="none"/>
        </w:rPr>
        <w:t> The EHRC suggests that factors that could be taken into consideration when conducting a risk assessment include:</w:t>
      </w:r>
    </w:p>
    <w:p w14:paraId="5C4CAB87" w14:textId="77777777" w:rsidR="003F0377" w:rsidRPr="003F0377" w:rsidRDefault="003F0377" w:rsidP="003F0377">
      <w:pPr>
        <w:numPr>
          <w:ilvl w:val="0"/>
          <w:numId w:val="2"/>
        </w:numPr>
        <w:shd w:val="clear" w:color="auto" w:fill="FFFFFF"/>
        <w:spacing w:before="100" w:beforeAutospacing="1"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color w:val="202526"/>
          <w:kern w:val="0"/>
          <w:sz w:val="24"/>
          <w:szCs w:val="24"/>
          <w:lang w:eastAsia="en-GB"/>
          <w14:ligatures w14:val="none"/>
        </w:rPr>
        <w:t xml:space="preserve">a male-dominated </w:t>
      </w:r>
      <w:proofErr w:type="gramStart"/>
      <w:r w:rsidRPr="003F0377">
        <w:rPr>
          <w:rFonts w:ascii="Arial" w:eastAsia="Times New Roman" w:hAnsi="Arial" w:cs="Arial"/>
          <w:color w:val="202526"/>
          <w:kern w:val="0"/>
          <w:sz w:val="24"/>
          <w:szCs w:val="24"/>
          <w:lang w:eastAsia="en-GB"/>
          <w14:ligatures w14:val="none"/>
        </w:rPr>
        <w:t>workforce;</w:t>
      </w:r>
      <w:proofErr w:type="gramEnd"/>
    </w:p>
    <w:p w14:paraId="045D492A" w14:textId="77777777" w:rsidR="003F0377" w:rsidRPr="003F0377" w:rsidRDefault="003F0377" w:rsidP="003F0377">
      <w:pPr>
        <w:numPr>
          <w:ilvl w:val="0"/>
          <w:numId w:val="2"/>
        </w:numPr>
        <w:shd w:val="clear" w:color="auto" w:fill="FFFFFF"/>
        <w:spacing w:before="100" w:beforeAutospacing="1"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color w:val="202526"/>
          <w:kern w:val="0"/>
          <w:sz w:val="24"/>
          <w:szCs w:val="24"/>
          <w:lang w:eastAsia="en-GB"/>
          <w14:ligatures w14:val="none"/>
        </w:rPr>
        <w:t xml:space="preserve">a workplace culture that permits crude, or sexist banter and/or disrespectful </w:t>
      </w:r>
      <w:proofErr w:type="gramStart"/>
      <w:r w:rsidRPr="003F0377">
        <w:rPr>
          <w:rFonts w:ascii="Arial" w:eastAsia="Times New Roman" w:hAnsi="Arial" w:cs="Arial"/>
          <w:color w:val="202526"/>
          <w:kern w:val="0"/>
          <w:sz w:val="24"/>
          <w:szCs w:val="24"/>
          <w:lang w:eastAsia="en-GB"/>
          <w14:ligatures w14:val="none"/>
        </w:rPr>
        <w:t>behaviour;</w:t>
      </w:r>
      <w:proofErr w:type="gramEnd"/>
    </w:p>
    <w:p w14:paraId="09CC920C" w14:textId="77777777" w:rsidR="003F0377" w:rsidRPr="003F0377" w:rsidRDefault="003F0377" w:rsidP="003F0377">
      <w:pPr>
        <w:numPr>
          <w:ilvl w:val="0"/>
          <w:numId w:val="2"/>
        </w:numPr>
        <w:shd w:val="clear" w:color="auto" w:fill="FFFFFF"/>
        <w:spacing w:before="100" w:beforeAutospacing="1"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color w:val="202526"/>
          <w:kern w:val="0"/>
          <w:sz w:val="24"/>
          <w:szCs w:val="24"/>
          <w:lang w:eastAsia="en-GB"/>
          <w14:ligatures w14:val="none"/>
        </w:rPr>
        <w:lastRenderedPageBreak/>
        <w:t>gendered power imbalances (for example where the majority of junior staff are female and senior leaders are male</w:t>
      </w:r>
      <w:proofErr w:type="gramStart"/>
      <w:r w:rsidRPr="003F0377">
        <w:rPr>
          <w:rFonts w:ascii="Arial" w:eastAsia="Times New Roman" w:hAnsi="Arial" w:cs="Arial"/>
          <w:color w:val="202526"/>
          <w:kern w:val="0"/>
          <w:sz w:val="24"/>
          <w:szCs w:val="24"/>
          <w:lang w:eastAsia="en-GB"/>
          <w14:ligatures w14:val="none"/>
        </w:rPr>
        <w:t>);</w:t>
      </w:r>
      <w:proofErr w:type="gramEnd"/>
    </w:p>
    <w:p w14:paraId="080B9C45" w14:textId="77777777" w:rsidR="003F0377" w:rsidRPr="003F0377" w:rsidRDefault="003F0377" w:rsidP="003F0377">
      <w:pPr>
        <w:numPr>
          <w:ilvl w:val="0"/>
          <w:numId w:val="2"/>
        </w:numPr>
        <w:shd w:val="clear" w:color="auto" w:fill="FFFFFF"/>
        <w:spacing w:before="100" w:beforeAutospacing="1"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color w:val="202526"/>
          <w:kern w:val="0"/>
          <w:sz w:val="24"/>
          <w:szCs w:val="24"/>
          <w:lang w:eastAsia="en-GB"/>
          <w14:ligatures w14:val="none"/>
        </w:rPr>
        <w:t xml:space="preserve">workplaces where alcohol consumption is </w:t>
      </w:r>
      <w:proofErr w:type="gramStart"/>
      <w:r w:rsidRPr="003F0377">
        <w:rPr>
          <w:rFonts w:ascii="Arial" w:eastAsia="Times New Roman" w:hAnsi="Arial" w:cs="Arial"/>
          <w:color w:val="202526"/>
          <w:kern w:val="0"/>
          <w:sz w:val="24"/>
          <w:szCs w:val="24"/>
          <w:lang w:eastAsia="en-GB"/>
          <w14:ligatures w14:val="none"/>
        </w:rPr>
        <w:t>allowed;</w:t>
      </w:r>
      <w:proofErr w:type="gramEnd"/>
    </w:p>
    <w:p w14:paraId="4076C89A" w14:textId="77777777" w:rsidR="003F0377" w:rsidRPr="003F0377" w:rsidRDefault="003F0377" w:rsidP="003F0377">
      <w:pPr>
        <w:numPr>
          <w:ilvl w:val="0"/>
          <w:numId w:val="2"/>
        </w:numPr>
        <w:shd w:val="clear" w:color="auto" w:fill="FFFFFF"/>
        <w:spacing w:before="100" w:beforeAutospacing="1"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color w:val="202526"/>
          <w:kern w:val="0"/>
          <w:sz w:val="24"/>
          <w:szCs w:val="24"/>
          <w:lang w:eastAsia="en-GB"/>
          <w14:ligatures w14:val="none"/>
        </w:rPr>
        <w:t>an expectation for workers to attend social events or conferences offsite or stay overnight (particularly if alcohol is being consumed</w:t>
      </w:r>
      <w:proofErr w:type="gramStart"/>
      <w:r w:rsidRPr="003F0377">
        <w:rPr>
          <w:rFonts w:ascii="Arial" w:eastAsia="Times New Roman" w:hAnsi="Arial" w:cs="Arial"/>
          <w:color w:val="202526"/>
          <w:kern w:val="0"/>
          <w:sz w:val="24"/>
          <w:szCs w:val="24"/>
          <w:lang w:eastAsia="en-GB"/>
          <w14:ligatures w14:val="none"/>
        </w:rPr>
        <w:t>);</w:t>
      </w:r>
      <w:proofErr w:type="gramEnd"/>
    </w:p>
    <w:p w14:paraId="27FA8501" w14:textId="77777777" w:rsidR="003F0377" w:rsidRPr="003F0377" w:rsidRDefault="003F0377" w:rsidP="003F0377">
      <w:pPr>
        <w:numPr>
          <w:ilvl w:val="0"/>
          <w:numId w:val="2"/>
        </w:numPr>
        <w:shd w:val="clear" w:color="auto" w:fill="FFFFFF"/>
        <w:spacing w:before="100" w:beforeAutospacing="1"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color w:val="202526"/>
          <w:kern w:val="0"/>
          <w:sz w:val="24"/>
          <w:szCs w:val="24"/>
          <w:lang w:eastAsia="en-GB"/>
          <w14:ligatures w14:val="none"/>
        </w:rPr>
        <w:t xml:space="preserve">lone or isolated working conditions, including with third </w:t>
      </w:r>
      <w:proofErr w:type="gramStart"/>
      <w:r w:rsidRPr="003F0377">
        <w:rPr>
          <w:rFonts w:ascii="Arial" w:eastAsia="Times New Roman" w:hAnsi="Arial" w:cs="Arial"/>
          <w:color w:val="202526"/>
          <w:kern w:val="0"/>
          <w:sz w:val="24"/>
          <w:szCs w:val="24"/>
          <w:lang w:eastAsia="en-GB"/>
          <w14:ligatures w14:val="none"/>
        </w:rPr>
        <w:t>parties;</w:t>
      </w:r>
      <w:proofErr w:type="gramEnd"/>
    </w:p>
    <w:p w14:paraId="50CD2EA9" w14:textId="77777777" w:rsidR="003F0377" w:rsidRPr="003F0377" w:rsidRDefault="003F0377" w:rsidP="003F0377">
      <w:pPr>
        <w:numPr>
          <w:ilvl w:val="0"/>
          <w:numId w:val="2"/>
        </w:numPr>
        <w:shd w:val="clear" w:color="auto" w:fill="FFFFFF"/>
        <w:spacing w:before="100" w:beforeAutospacing="1"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color w:val="202526"/>
          <w:kern w:val="0"/>
          <w:sz w:val="24"/>
          <w:szCs w:val="24"/>
          <w:lang w:eastAsia="en-GB"/>
          <w14:ligatures w14:val="none"/>
        </w:rPr>
        <w:t xml:space="preserve">night </w:t>
      </w:r>
      <w:proofErr w:type="gramStart"/>
      <w:r w:rsidRPr="003F0377">
        <w:rPr>
          <w:rFonts w:ascii="Arial" w:eastAsia="Times New Roman" w:hAnsi="Arial" w:cs="Arial"/>
          <w:color w:val="202526"/>
          <w:kern w:val="0"/>
          <w:sz w:val="24"/>
          <w:szCs w:val="24"/>
          <w:lang w:eastAsia="en-GB"/>
          <w14:ligatures w14:val="none"/>
        </w:rPr>
        <w:t>working;</w:t>
      </w:r>
      <w:proofErr w:type="gramEnd"/>
    </w:p>
    <w:p w14:paraId="6A83E52E" w14:textId="77777777" w:rsidR="003F0377" w:rsidRPr="003F0377" w:rsidRDefault="003F0377" w:rsidP="003F0377">
      <w:pPr>
        <w:numPr>
          <w:ilvl w:val="0"/>
          <w:numId w:val="2"/>
        </w:numPr>
        <w:shd w:val="clear" w:color="auto" w:fill="FFFFFF"/>
        <w:spacing w:before="100" w:beforeAutospacing="1"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color w:val="202526"/>
          <w:kern w:val="0"/>
          <w:sz w:val="24"/>
          <w:szCs w:val="24"/>
          <w:lang w:eastAsia="en-GB"/>
          <w14:ligatures w14:val="none"/>
        </w:rPr>
        <w:t xml:space="preserve">an insecure/casual working </w:t>
      </w:r>
      <w:proofErr w:type="gramStart"/>
      <w:r w:rsidRPr="003F0377">
        <w:rPr>
          <w:rFonts w:ascii="Arial" w:eastAsia="Times New Roman" w:hAnsi="Arial" w:cs="Arial"/>
          <w:color w:val="202526"/>
          <w:kern w:val="0"/>
          <w:sz w:val="24"/>
          <w:szCs w:val="24"/>
          <w:lang w:eastAsia="en-GB"/>
          <w14:ligatures w14:val="none"/>
        </w:rPr>
        <w:t>arrangement;</w:t>
      </w:r>
      <w:proofErr w:type="gramEnd"/>
    </w:p>
    <w:p w14:paraId="60FC031B" w14:textId="77777777" w:rsidR="003F0377" w:rsidRPr="003F0377" w:rsidRDefault="003F0377" w:rsidP="003F0377">
      <w:pPr>
        <w:numPr>
          <w:ilvl w:val="0"/>
          <w:numId w:val="2"/>
        </w:numPr>
        <w:shd w:val="clear" w:color="auto" w:fill="FFFFFF"/>
        <w:spacing w:before="100" w:beforeAutospacing="1"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color w:val="202526"/>
          <w:kern w:val="0"/>
          <w:sz w:val="24"/>
          <w:szCs w:val="24"/>
          <w:lang w:eastAsia="en-GB"/>
          <w14:ligatures w14:val="none"/>
        </w:rPr>
        <w:t xml:space="preserve">a failure to respond appropriately to previous reports of sexual </w:t>
      </w:r>
      <w:proofErr w:type="gramStart"/>
      <w:r w:rsidRPr="003F0377">
        <w:rPr>
          <w:rFonts w:ascii="Arial" w:eastAsia="Times New Roman" w:hAnsi="Arial" w:cs="Arial"/>
          <w:color w:val="202526"/>
          <w:kern w:val="0"/>
          <w:sz w:val="24"/>
          <w:szCs w:val="24"/>
          <w:lang w:eastAsia="en-GB"/>
          <w14:ligatures w14:val="none"/>
        </w:rPr>
        <w:t>harassment;</w:t>
      </w:r>
      <w:proofErr w:type="gramEnd"/>
    </w:p>
    <w:p w14:paraId="3F100424" w14:textId="77777777" w:rsidR="003F0377" w:rsidRPr="003F0377" w:rsidRDefault="003F0377" w:rsidP="003F0377">
      <w:pPr>
        <w:numPr>
          <w:ilvl w:val="0"/>
          <w:numId w:val="2"/>
        </w:numPr>
        <w:shd w:val="clear" w:color="auto" w:fill="FFFFFF"/>
        <w:spacing w:before="100" w:beforeAutospacing="1"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color w:val="202526"/>
          <w:kern w:val="0"/>
          <w:sz w:val="24"/>
          <w:szCs w:val="24"/>
          <w:lang w:eastAsia="en-GB"/>
          <w14:ligatures w14:val="none"/>
        </w:rPr>
        <w:t>the absence of policies or procedures to prevent or respond to sexual harassment; and</w:t>
      </w:r>
    </w:p>
    <w:p w14:paraId="647BB10B" w14:textId="77777777" w:rsidR="003F0377" w:rsidRPr="003F0377" w:rsidRDefault="003F0377" w:rsidP="003F0377">
      <w:pPr>
        <w:numPr>
          <w:ilvl w:val="0"/>
          <w:numId w:val="2"/>
        </w:numPr>
        <w:shd w:val="clear" w:color="auto" w:fill="FFFFFF"/>
        <w:spacing w:before="100" w:beforeAutospacing="1"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color w:val="202526"/>
          <w:kern w:val="0"/>
          <w:sz w:val="24"/>
          <w:szCs w:val="24"/>
          <w:lang w:eastAsia="en-GB"/>
          <w14:ligatures w14:val="none"/>
        </w:rPr>
        <w:t>the presence of workers who have more than one protected characteristic (as disabled people, ethnic minorities and people from the LGBT community are more likely to experience sexual harassment).</w:t>
      </w:r>
    </w:p>
    <w:p w14:paraId="7843D646" w14:textId="77777777" w:rsidR="003F0377" w:rsidRPr="003F0377" w:rsidRDefault="003F0377" w:rsidP="003F0377">
      <w:pPr>
        <w:shd w:val="clear" w:color="auto" w:fill="FFFFFF"/>
        <w:spacing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color w:val="202526"/>
          <w:kern w:val="0"/>
          <w:sz w:val="24"/>
          <w:szCs w:val="24"/>
          <w:lang w:eastAsia="en-GB"/>
          <w14:ligatures w14:val="none"/>
        </w:rPr>
        <w:t>The guidance states that where there are risks that only affect one job role or one worker, these should still be considered and addressed. This form provides an example of an organisation that has assessed various risk factors specific to their own organisation. Employers will need to adapt the form to meet their own specific needs and identify risk factors that are relevant to their organisation. The risk assessment should be reviewed and updated on a regular basis.</w:t>
      </w:r>
    </w:p>
    <w:p w14:paraId="5D802F1E" w14:textId="77777777" w:rsidR="003F0377" w:rsidRPr="003F0377" w:rsidRDefault="003F0377" w:rsidP="003F0377">
      <w:pPr>
        <w:shd w:val="clear" w:color="auto" w:fill="FFFFFF"/>
        <w:spacing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b/>
          <w:bCs/>
          <w:color w:val="202526"/>
          <w:kern w:val="0"/>
          <w:sz w:val="24"/>
          <w:szCs w:val="24"/>
          <w:lang w:eastAsia="en-GB"/>
          <w14:ligatures w14:val="none"/>
        </w:rPr>
        <w:t>Reasonable steps:</w:t>
      </w:r>
      <w:r w:rsidRPr="003F0377">
        <w:rPr>
          <w:rFonts w:ascii="Arial" w:eastAsia="Times New Roman" w:hAnsi="Arial" w:cs="Arial"/>
          <w:color w:val="202526"/>
          <w:kern w:val="0"/>
          <w:sz w:val="24"/>
          <w:szCs w:val="24"/>
          <w:lang w:eastAsia="en-GB"/>
          <w14:ligatures w14:val="none"/>
        </w:rPr>
        <w:t> The employer must take "reasonable" steps to prevent sexual harassment of their workers in the course of their employment to comply with the preventative duty. The EHRC's guidance suggests that what is reasonable will vary for different employers and will depend on factors including, but not limited to:</w:t>
      </w:r>
    </w:p>
    <w:p w14:paraId="199C7D20" w14:textId="77777777" w:rsidR="003F0377" w:rsidRPr="003F0377" w:rsidRDefault="003F0377" w:rsidP="003F0377">
      <w:pPr>
        <w:numPr>
          <w:ilvl w:val="0"/>
          <w:numId w:val="3"/>
        </w:numPr>
        <w:shd w:val="clear" w:color="auto" w:fill="FFFFFF"/>
        <w:spacing w:before="100" w:beforeAutospacing="1"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color w:val="202526"/>
          <w:kern w:val="0"/>
          <w:sz w:val="24"/>
          <w:szCs w:val="24"/>
          <w:lang w:eastAsia="en-GB"/>
          <w14:ligatures w14:val="none"/>
        </w:rPr>
        <w:t xml:space="preserve">the size and resources available to the </w:t>
      </w:r>
      <w:proofErr w:type="gramStart"/>
      <w:r w:rsidRPr="003F0377">
        <w:rPr>
          <w:rFonts w:ascii="Arial" w:eastAsia="Times New Roman" w:hAnsi="Arial" w:cs="Arial"/>
          <w:color w:val="202526"/>
          <w:kern w:val="0"/>
          <w:sz w:val="24"/>
          <w:szCs w:val="24"/>
          <w:lang w:eastAsia="en-GB"/>
          <w14:ligatures w14:val="none"/>
        </w:rPr>
        <w:t>employer;</w:t>
      </w:r>
      <w:proofErr w:type="gramEnd"/>
    </w:p>
    <w:p w14:paraId="2378E555" w14:textId="77777777" w:rsidR="003F0377" w:rsidRPr="003F0377" w:rsidRDefault="003F0377" w:rsidP="003F0377">
      <w:pPr>
        <w:numPr>
          <w:ilvl w:val="0"/>
          <w:numId w:val="3"/>
        </w:numPr>
        <w:shd w:val="clear" w:color="auto" w:fill="FFFFFF"/>
        <w:spacing w:before="100" w:beforeAutospacing="1"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color w:val="202526"/>
          <w:kern w:val="0"/>
          <w:sz w:val="24"/>
          <w:szCs w:val="24"/>
          <w:lang w:eastAsia="en-GB"/>
          <w14:ligatures w14:val="none"/>
        </w:rPr>
        <w:t xml:space="preserve">the nature of the working </w:t>
      </w:r>
      <w:proofErr w:type="gramStart"/>
      <w:r w:rsidRPr="003F0377">
        <w:rPr>
          <w:rFonts w:ascii="Arial" w:eastAsia="Times New Roman" w:hAnsi="Arial" w:cs="Arial"/>
          <w:color w:val="202526"/>
          <w:kern w:val="0"/>
          <w:sz w:val="24"/>
          <w:szCs w:val="24"/>
          <w:lang w:eastAsia="en-GB"/>
          <w14:ligatures w14:val="none"/>
        </w:rPr>
        <w:t>environment;</w:t>
      </w:r>
      <w:proofErr w:type="gramEnd"/>
    </w:p>
    <w:p w14:paraId="7002A3E6" w14:textId="77777777" w:rsidR="003F0377" w:rsidRPr="003F0377" w:rsidRDefault="003F0377" w:rsidP="003F0377">
      <w:pPr>
        <w:numPr>
          <w:ilvl w:val="0"/>
          <w:numId w:val="3"/>
        </w:numPr>
        <w:shd w:val="clear" w:color="auto" w:fill="FFFFFF"/>
        <w:spacing w:before="100" w:beforeAutospacing="1"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color w:val="202526"/>
          <w:kern w:val="0"/>
          <w:sz w:val="24"/>
          <w:szCs w:val="24"/>
          <w:lang w:eastAsia="en-GB"/>
          <w14:ligatures w14:val="none"/>
        </w:rPr>
        <w:t xml:space="preserve">the sector in which the employer </w:t>
      </w:r>
      <w:proofErr w:type="gramStart"/>
      <w:r w:rsidRPr="003F0377">
        <w:rPr>
          <w:rFonts w:ascii="Arial" w:eastAsia="Times New Roman" w:hAnsi="Arial" w:cs="Arial"/>
          <w:color w:val="202526"/>
          <w:kern w:val="0"/>
          <w:sz w:val="24"/>
          <w:szCs w:val="24"/>
          <w:lang w:eastAsia="en-GB"/>
          <w14:ligatures w14:val="none"/>
        </w:rPr>
        <w:t>operates;</w:t>
      </w:r>
      <w:proofErr w:type="gramEnd"/>
    </w:p>
    <w:p w14:paraId="3056AD56" w14:textId="77777777" w:rsidR="003F0377" w:rsidRPr="003F0377" w:rsidRDefault="003F0377" w:rsidP="003F0377">
      <w:pPr>
        <w:numPr>
          <w:ilvl w:val="0"/>
          <w:numId w:val="3"/>
        </w:numPr>
        <w:shd w:val="clear" w:color="auto" w:fill="FFFFFF"/>
        <w:spacing w:before="100" w:beforeAutospacing="1"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color w:val="202526"/>
          <w:kern w:val="0"/>
          <w:sz w:val="24"/>
          <w:szCs w:val="24"/>
          <w:lang w:eastAsia="en-GB"/>
          <w14:ligatures w14:val="none"/>
        </w:rPr>
        <w:t xml:space="preserve">the risks present in the </w:t>
      </w:r>
      <w:proofErr w:type="gramStart"/>
      <w:r w:rsidRPr="003F0377">
        <w:rPr>
          <w:rFonts w:ascii="Arial" w:eastAsia="Times New Roman" w:hAnsi="Arial" w:cs="Arial"/>
          <w:color w:val="202526"/>
          <w:kern w:val="0"/>
          <w:sz w:val="24"/>
          <w:szCs w:val="24"/>
          <w:lang w:eastAsia="en-GB"/>
          <w14:ligatures w14:val="none"/>
        </w:rPr>
        <w:t>workplace;</w:t>
      </w:r>
      <w:proofErr w:type="gramEnd"/>
    </w:p>
    <w:p w14:paraId="08447C9C" w14:textId="77777777" w:rsidR="003F0377" w:rsidRPr="003F0377" w:rsidRDefault="003F0377" w:rsidP="003F0377">
      <w:pPr>
        <w:numPr>
          <w:ilvl w:val="0"/>
          <w:numId w:val="3"/>
        </w:numPr>
        <w:shd w:val="clear" w:color="auto" w:fill="FFFFFF"/>
        <w:spacing w:before="100" w:beforeAutospacing="1"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color w:val="202526"/>
          <w:kern w:val="0"/>
          <w:sz w:val="24"/>
          <w:szCs w:val="24"/>
          <w:lang w:eastAsia="en-GB"/>
          <w14:ligatures w14:val="none"/>
        </w:rPr>
        <w:t>the nature of any interaction with third parties (for example type of third party, frequency of contact, environment</w:t>
      </w:r>
      <w:proofErr w:type="gramStart"/>
      <w:r w:rsidRPr="003F0377">
        <w:rPr>
          <w:rFonts w:ascii="Arial" w:eastAsia="Times New Roman" w:hAnsi="Arial" w:cs="Arial"/>
          <w:color w:val="202526"/>
          <w:kern w:val="0"/>
          <w:sz w:val="24"/>
          <w:szCs w:val="24"/>
          <w:lang w:eastAsia="en-GB"/>
          <w14:ligatures w14:val="none"/>
        </w:rPr>
        <w:t>);</w:t>
      </w:r>
      <w:proofErr w:type="gramEnd"/>
    </w:p>
    <w:p w14:paraId="466D2145" w14:textId="77777777" w:rsidR="003F0377" w:rsidRPr="003F0377" w:rsidRDefault="003F0377" w:rsidP="003F0377">
      <w:pPr>
        <w:numPr>
          <w:ilvl w:val="0"/>
          <w:numId w:val="3"/>
        </w:numPr>
        <w:shd w:val="clear" w:color="auto" w:fill="FFFFFF"/>
        <w:spacing w:before="100" w:beforeAutospacing="1"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color w:val="202526"/>
          <w:kern w:val="0"/>
          <w:sz w:val="24"/>
          <w:szCs w:val="24"/>
          <w:lang w:eastAsia="en-GB"/>
          <w14:ligatures w14:val="none"/>
        </w:rPr>
        <w:t xml:space="preserve">the likely impact of taking a particular step and whether a different approach could be more </w:t>
      </w:r>
      <w:proofErr w:type="gramStart"/>
      <w:r w:rsidRPr="003F0377">
        <w:rPr>
          <w:rFonts w:ascii="Arial" w:eastAsia="Times New Roman" w:hAnsi="Arial" w:cs="Arial"/>
          <w:color w:val="202526"/>
          <w:kern w:val="0"/>
          <w:sz w:val="24"/>
          <w:szCs w:val="24"/>
          <w:lang w:eastAsia="en-GB"/>
          <w14:ligatures w14:val="none"/>
        </w:rPr>
        <w:t>effective;</w:t>
      </w:r>
      <w:proofErr w:type="gramEnd"/>
    </w:p>
    <w:p w14:paraId="63A24189" w14:textId="77777777" w:rsidR="003F0377" w:rsidRPr="003F0377" w:rsidRDefault="003F0377" w:rsidP="003F0377">
      <w:pPr>
        <w:numPr>
          <w:ilvl w:val="0"/>
          <w:numId w:val="3"/>
        </w:numPr>
        <w:shd w:val="clear" w:color="auto" w:fill="FFFFFF"/>
        <w:spacing w:before="100" w:beforeAutospacing="1"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color w:val="202526"/>
          <w:kern w:val="0"/>
          <w:sz w:val="24"/>
          <w:szCs w:val="24"/>
          <w:lang w:eastAsia="en-GB"/>
          <w14:ligatures w14:val="none"/>
        </w:rPr>
        <w:t xml:space="preserve">the time, cost and potential disruption associated with taking a particular step weighed against its potential </w:t>
      </w:r>
      <w:proofErr w:type="gramStart"/>
      <w:r w:rsidRPr="003F0377">
        <w:rPr>
          <w:rFonts w:ascii="Arial" w:eastAsia="Times New Roman" w:hAnsi="Arial" w:cs="Arial"/>
          <w:color w:val="202526"/>
          <w:kern w:val="0"/>
          <w:sz w:val="24"/>
          <w:szCs w:val="24"/>
          <w:lang w:eastAsia="en-GB"/>
          <w14:ligatures w14:val="none"/>
        </w:rPr>
        <w:t>benefit;</w:t>
      </w:r>
      <w:proofErr w:type="gramEnd"/>
    </w:p>
    <w:p w14:paraId="62B90D11" w14:textId="77777777" w:rsidR="003F0377" w:rsidRPr="003F0377" w:rsidRDefault="003F0377" w:rsidP="003F0377">
      <w:pPr>
        <w:numPr>
          <w:ilvl w:val="0"/>
          <w:numId w:val="3"/>
        </w:numPr>
        <w:shd w:val="clear" w:color="auto" w:fill="FFFFFF"/>
        <w:spacing w:before="100" w:beforeAutospacing="1"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color w:val="202526"/>
          <w:kern w:val="0"/>
          <w:sz w:val="24"/>
          <w:szCs w:val="24"/>
          <w:lang w:eastAsia="en-GB"/>
          <w14:ligatures w14:val="none"/>
        </w:rPr>
        <w:t xml:space="preserve">whether concerns of sexual harassment have been raised with the </w:t>
      </w:r>
      <w:proofErr w:type="gramStart"/>
      <w:r w:rsidRPr="003F0377">
        <w:rPr>
          <w:rFonts w:ascii="Arial" w:eastAsia="Times New Roman" w:hAnsi="Arial" w:cs="Arial"/>
          <w:color w:val="202526"/>
          <w:kern w:val="0"/>
          <w:sz w:val="24"/>
          <w:szCs w:val="24"/>
          <w:lang w:eastAsia="en-GB"/>
          <w14:ligatures w14:val="none"/>
        </w:rPr>
        <w:t>employer;</w:t>
      </w:r>
      <w:proofErr w:type="gramEnd"/>
    </w:p>
    <w:p w14:paraId="70373F62" w14:textId="77777777" w:rsidR="003F0377" w:rsidRPr="003F0377" w:rsidRDefault="003F0377" w:rsidP="003F0377">
      <w:pPr>
        <w:numPr>
          <w:ilvl w:val="0"/>
          <w:numId w:val="3"/>
        </w:numPr>
        <w:shd w:val="clear" w:color="auto" w:fill="FFFFFF"/>
        <w:spacing w:before="100" w:beforeAutospacing="1"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color w:val="202526"/>
          <w:kern w:val="0"/>
          <w:sz w:val="24"/>
          <w:szCs w:val="24"/>
          <w:lang w:eastAsia="en-GB"/>
          <w14:ligatures w14:val="none"/>
        </w:rPr>
        <w:t>compliance with relevant regulatory standards (such as those set by the Financial Conduct Authority or General Medical Council); and/or</w:t>
      </w:r>
    </w:p>
    <w:p w14:paraId="12877642" w14:textId="77777777" w:rsidR="003F0377" w:rsidRPr="003F0377" w:rsidRDefault="003F0377" w:rsidP="003F0377">
      <w:pPr>
        <w:numPr>
          <w:ilvl w:val="0"/>
          <w:numId w:val="3"/>
        </w:numPr>
        <w:shd w:val="clear" w:color="auto" w:fill="FFFFFF"/>
        <w:spacing w:before="100" w:beforeAutospacing="1"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color w:val="202526"/>
          <w:kern w:val="0"/>
          <w:sz w:val="24"/>
          <w:szCs w:val="24"/>
          <w:lang w:eastAsia="en-GB"/>
          <w14:ligatures w14:val="none"/>
        </w:rPr>
        <w:lastRenderedPageBreak/>
        <w:t>whether any steps already taken have been effective or ineffective (for example if a further incident of sexual harassment occurs after steps have been taken, this made indicate that additional and/or alternative action should be considered).</w:t>
      </w:r>
    </w:p>
    <w:p w14:paraId="71D08BEE" w14:textId="77777777" w:rsidR="003F0377" w:rsidRPr="003F0377" w:rsidRDefault="003F0377" w:rsidP="003F0377">
      <w:pPr>
        <w:shd w:val="clear" w:color="auto" w:fill="FFFFFF"/>
        <w:spacing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b/>
          <w:bCs/>
          <w:color w:val="202526"/>
          <w:kern w:val="0"/>
          <w:sz w:val="24"/>
          <w:szCs w:val="24"/>
          <w:lang w:eastAsia="en-GB"/>
          <w14:ligatures w14:val="none"/>
        </w:rPr>
        <w:t>Designated lead:</w:t>
      </w:r>
      <w:r w:rsidRPr="003F0377">
        <w:rPr>
          <w:rFonts w:ascii="Arial" w:eastAsia="Times New Roman" w:hAnsi="Arial" w:cs="Arial"/>
          <w:color w:val="202526"/>
          <w:kern w:val="0"/>
          <w:sz w:val="24"/>
          <w:szCs w:val="24"/>
          <w:lang w:eastAsia="en-GB"/>
          <w14:ligatures w14:val="none"/>
        </w:rPr>
        <w:t> The EHRC guidance suggests that employers may want to consider appointing a designated lead to take responsibility for implementing an action plan and complying with the preventative duty. The guidance also makes it clear that employers should not wait until a complaint of sexual harassment has been raised before they take any action. </w:t>
      </w:r>
    </w:p>
    <w:p w14:paraId="68950E03" w14:textId="77777777" w:rsidR="003F0377" w:rsidRPr="003F0377" w:rsidRDefault="003F0377" w:rsidP="003F0377">
      <w:pPr>
        <w:shd w:val="clear" w:color="auto" w:fill="FFFFFF"/>
        <w:spacing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b/>
          <w:bCs/>
          <w:color w:val="202526"/>
          <w:kern w:val="0"/>
          <w:sz w:val="24"/>
          <w:szCs w:val="24"/>
          <w:lang w:eastAsia="en-GB"/>
          <w14:ligatures w14:val="none"/>
        </w:rPr>
        <w:t>Breach of the preventative duty: </w:t>
      </w:r>
      <w:r w:rsidRPr="003F0377">
        <w:rPr>
          <w:rFonts w:ascii="Arial" w:eastAsia="Times New Roman" w:hAnsi="Arial" w:cs="Arial"/>
          <w:color w:val="202526"/>
          <w:kern w:val="0"/>
          <w:sz w:val="24"/>
          <w:szCs w:val="24"/>
          <w:lang w:eastAsia="en-GB"/>
          <w14:ligatures w14:val="none"/>
        </w:rPr>
        <w:t>If an employer does not take reasonable steps to prevent sexual harassment of their workers, the preventative duty will be breached.</w:t>
      </w:r>
      <w:r w:rsidRPr="003F0377">
        <w:rPr>
          <w:rFonts w:ascii="Arial" w:eastAsia="Times New Roman" w:hAnsi="Arial" w:cs="Arial"/>
          <w:i/>
          <w:iCs/>
          <w:color w:val="202526"/>
          <w:kern w:val="0"/>
          <w:sz w:val="24"/>
          <w:szCs w:val="24"/>
          <w:lang w:eastAsia="en-GB"/>
          <w14:ligatures w14:val="none"/>
        </w:rPr>
        <w:t> </w:t>
      </w:r>
      <w:r w:rsidRPr="003F0377">
        <w:rPr>
          <w:rFonts w:ascii="Arial" w:eastAsia="Times New Roman" w:hAnsi="Arial" w:cs="Arial"/>
          <w:color w:val="202526"/>
          <w:kern w:val="0"/>
          <w:sz w:val="24"/>
          <w:szCs w:val="24"/>
          <w:lang w:eastAsia="en-GB"/>
          <w14:ligatures w14:val="none"/>
        </w:rPr>
        <w:t>Employment tribunals cannot consider standalone breaches of the preventative duty. However, if an individual succeeds in a sexual harassment claim and the tribunal finds that that the employer breached the preventative duty, compensation can be increased by up to 25%. It is important to note that the EHRC has enforcement powers and may enforce a standalone breach of the preventative duty as an unlawful act.</w:t>
      </w:r>
    </w:p>
    <w:p w14:paraId="25C30CAC" w14:textId="77777777" w:rsidR="003F0377" w:rsidRPr="003F0377" w:rsidRDefault="003F0377" w:rsidP="003F0377">
      <w:pPr>
        <w:shd w:val="clear" w:color="auto" w:fill="FFFFFF"/>
        <w:spacing w:after="180" w:line="240" w:lineRule="auto"/>
        <w:jc w:val="both"/>
        <w:rPr>
          <w:rFonts w:ascii="Arial" w:eastAsia="Times New Roman" w:hAnsi="Arial" w:cs="Arial"/>
          <w:color w:val="202526"/>
          <w:kern w:val="0"/>
          <w:sz w:val="24"/>
          <w:szCs w:val="24"/>
          <w:lang w:eastAsia="en-GB"/>
          <w14:ligatures w14:val="none"/>
        </w:rPr>
      </w:pPr>
    </w:p>
    <w:p w14:paraId="5A4A7BA7" w14:textId="240925D1" w:rsidR="003F0377" w:rsidRPr="003F0377" w:rsidRDefault="003F0377" w:rsidP="003F0377">
      <w:pPr>
        <w:pBdr>
          <w:top w:val="single" w:sz="4" w:space="1" w:color="auto"/>
          <w:left w:val="single" w:sz="4" w:space="4" w:color="auto"/>
          <w:bottom w:val="single" w:sz="4" w:space="1" w:color="auto"/>
          <w:right w:val="single" w:sz="4" w:space="4" w:color="auto"/>
        </w:pBdr>
        <w:shd w:val="clear" w:color="auto" w:fill="FFFFFF"/>
        <w:spacing w:after="180" w:line="240" w:lineRule="auto"/>
        <w:jc w:val="both"/>
        <w:rPr>
          <w:rFonts w:ascii="Arial" w:eastAsia="Times New Roman" w:hAnsi="Arial" w:cs="Arial"/>
          <w:b/>
          <w:bCs/>
          <w:color w:val="202526"/>
          <w:kern w:val="0"/>
          <w:sz w:val="24"/>
          <w:szCs w:val="24"/>
          <w:lang w:eastAsia="en-GB"/>
          <w14:ligatures w14:val="none"/>
        </w:rPr>
      </w:pPr>
      <w:r w:rsidRPr="003F0377">
        <w:rPr>
          <w:rFonts w:ascii="Arial" w:eastAsia="Times New Roman" w:hAnsi="Arial" w:cs="Arial"/>
          <w:b/>
          <w:bCs/>
          <w:color w:val="202526"/>
          <w:kern w:val="0"/>
          <w:sz w:val="24"/>
          <w:szCs w:val="24"/>
          <w:lang w:eastAsia="en-GB"/>
          <w14:ligatures w14:val="none"/>
        </w:rPr>
        <w:t>Legal context</w:t>
      </w:r>
    </w:p>
    <w:p w14:paraId="0711E371" w14:textId="36D31146" w:rsidR="003F0377" w:rsidRPr="003F0377" w:rsidRDefault="003F0377" w:rsidP="003F0377">
      <w:pPr>
        <w:pBdr>
          <w:top w:val="single" w:sz="4" w:space="1" w:color="auto"/>
          <w:left w:val="single" w:sz="4" w:space="4" w:color="auto"/>
          <w:bottom w:val="single" w:sz="4" w:space="1" w:color="auto"/>
          <w:right w:val="single" w:sz="4" w:space="4" w:color="auto"/>
        </w:pBdr>
        <w:shd w:val="clear" w:color="auto" w:fill="FFFFFF"/>
        <w:spacing w:after="180" w:line="240" w:lineRule="auto"/>
        <w:jc w:val="both"/>
        <w:rPr>
          <w:rFonts w:ascii="Arial" w:eastAsia="Times New Roman" w:hAnsi="Arial" w:cs="Arial"/>
          <w:color w:val="202526"/>
          <w:kern w:val="0"/>
          <w:sz w:val="24"/>
          <w:szCs w:val="24"/>
          <w:lang w:eastAsia="en-GB"/>
          <w14:ligatures w14:val="none"/>
        </w:rPr>
      </w:pPr>
      <w:r w:rsidRPr="003F0377">
        <w:rPr>
          <w:rFonts w:ascii="Arial" w:eastAsia="Times New Roman" w:hAnsi="Arial" w:cs="Arial"/>
          <w:color w:val="202526"/>
          <w:kern w:val="0"/>
          <w:sz w:val="24"/>
          <w:szCs w:val="24"/>
          <w:lang w:eastAsia="en-GB"/>
          <w14:ligatures w14:val="none"/>
        </w:rPr>
        <w:t>This form reflects reforms introduced by the </w:t>
      </w:r>
      <w:hyperlink r:id="rId10" w:tgtFrame="_blank" w:tooltip="Worker Protection (Amendment of Equality Act 2010) Act 2023" w:history="1">
        <w:r w:rsidRPr="003F0377">
          <w:rPr>
            <w:rFonts w:ascii="Arial" w:eastAsia="Times New Roman" w:hAnsi="Arial" w:cs="Arial"/>
            <w:color w:val="0E728B"/>
            <w:kern w:val="0"/>
            <w:sz w:val="24"/>
            <w:szCs w:val="24"/>
            <w:u w:val="single"/>
            <w:lang w:eastAsia="en-GB"/>
            <w14:ligatures w14:val="none"/>
          </w:rPr>
          <w:t>Worker Protection (Amendment of Equality Act 2010) Act 2023</w:t>
        </w:r>
      </w:hyperlink>
      <w:r w:rsidRPr="003F0377">
        <w:rPr>
          <w:rFonts w:ascii="Arial" w:eastAsia="Times New Roman" w:hAnsi="Arial" w:cs="Arial"/>
          <w:color w:val="202526"/>
          <w:kern w:val="0"/>
          <w:sz w:val="24"/>
          <w:szCs w:val="24"/>
          <w:lang w:eastAsia="en-GB"/>
          <w14:ligatures w14:val="none"/>
        </w:rPr>
        <w:t> on 26</w:t>
      </w:r>
      <w:r w:rsidRPr="003F0377">
        <w:rPr>
          <w:rFonts w:ascii="Arial" w:eastAsia="Times New Roman" w:hAnsi="Arial" w:cs="Arial"/>
          <w:color w:val="202526"/>
          <w:kern w:val="0"/>
          <w:sz w:val="24"/>
          <w:szCs w:val="24"/>
          <w:vertAlign w:val="superscript"/>
          <w:lang w:eastAsia="en-GB"/>
          <w14:ligatures w14:val="none"/>
        </w:rPr>
        <w:t> </w:t>
      </w:r>
      <w:r w:rsidRPr="003F0377">
        <w:rPr>
          <w:rFonts w:ascii="Arial" w:eastAsia="Times New Roman" w:hAnsi="Arial" w:cs="Arial"/>
          <w:color w:val="202526"/>
          <w:kern w:val="0"/>
          <w:sz w:val="24"/>
          <w:szCs w:val="24"/>
          <w:lang w:eastAsia="en-GB"/>
          <w14:ligatures w14:val="none"/>
        </w:rPr>
        <w:t>October 2024 and the EHRC's </w:t>
      </w:r>
      <w:hyperlink r:id="rId11" w:tgtFrame="_blank" w:tooltip="guidance on sexual harassment and harassment at work" w:history="1">
        <w:r w:rsidRPr="003F0377">
          <w:rPr>
            <w:rFonts w:ascii="Arial" w:eastAsia="Times New Roman" w:hAnsi="Arial" w:cs="Arial"/>
            <w:color w:val="0E728B"/>
            <w:kern w:val="0"/>
            <w:sz w:val="24"/>
            <w:szCs w:val="24"/>
            <w:u w:val="single"/>
            <w:lang w:eastAsia="en-GB"/>
            <w14:ligatures w14:val="none"/>
          </w:rPr>
          <w:t>guidance on sexual harassment and harassment at work</w:t>
        </w:r>
      </w:hyperlink>
      <w:r w:rsidRPr="003F0377">
        <w:rPr>
          <w:rFonts w:ascii="Arial" w:eastAsia="Times New Roman" w:hAnsi="Arial" w:cs="Arial"/>
          <w:color w:val="202526"/>
          <w:kern w:val="0"/>
          <w:sz w:val="24"/>
          <w:szCs w:val="24"/>
          <w:lang w:eastAsia="en-GB"/>
          <w14:ligatures w14:val="none"/>
        </w:rPr>
        <w:t>, which was updated on 26 September 2024.</w:t>
      </w:r>
    </w:p>
    <w:p w14:paraId="101CED12" w14:textId="77777777" w:rsidR="003F0377" w:rsidRPr="003F0377" w:rsidRDefault="003F0377" w:rsidP="003F0377">
      <w:pPr>
        <w:jc w:val="both"/>
        <w:rPr>
          <w:rFonts w:ascii="Arial" w:hAnsi="Arial" w:cs="Arial"/>
          <w:sz w:val="24"/>
          <w:szCs w:val="24"/>
        </w:rPr>
      </w:pPr>
    </w:p>
    <w:sectPr w:rsidR="003F0377" w:rsidRPr="003F03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76D4"/>
    <w:multiLevelType w:val="multilevel"/>
    <w:tmpl w:val="F7C872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7CD6E94"/>
    <w:multiLevelType w:val="multilevel"/>
    <w:tmpl w:val="FFE6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4B0DA1"/>
    <w:multiLevelType w:val="hybridMultilevel"/>
    <w:tmpl w:val="ADCCEC28"/>
    <w:lvl w:ilvl="0" w:tplc="5378B22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55F3DBC"/>
    <w:multiLevelType w:val="multilevel"/>
    <w:tmpl w:val="245A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4428895">
    <w:abstractNumId w:val="0"/>
  </w:num>
  <w:num w:numId="2" w16cid:durableId="1735547251">
    <w:abstractNumId w:val="3"/>
  </w:num>
  <w:num w:numId="3" w16cid:durableId="1234896793">
    <w:abstractNumId w:val="1"/>
  </w:num>
  <w:num w:numId="4" w16cid:durableId="466167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77"/>
    <w:rsid w:val="003D2140"/>
    <w:rsid w:val="003F0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65B9"/>
  <w15:chartTrackingRefBased/>
  <w15:docId w15:val="{89820066-F3E2-4CCD-A46F-F60FD318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F037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3F037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0377"/>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3F0377"/>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3F0377"/>
    <w:rPr>
      <w:b/>
      <w:bCs/>
    </w:rPr>
  </w:style>
  <w:style w:type="paragraph" w:styleId="NormalWeb">
    <w:name w:val="Normal (Web)"/>
    <w:basedOn w:val="Normal"/>
    <w:uiPriority w:val="99"/>
    <w:semiHidden/>
    <w:unhideWhenUsed/>
    <w:rsid w:val="003F03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3F0377"/>
    <w:rPr>
      <w:color w:val="0000FF"/>
      <w:u w:val="single"/>
    </w:rPr>
  </w:style>
  <w:style w:type="character" w:styleId="Emphasis">
    <w:name w:val="Emphasis"/>
    <w:basedOn w:val="DefaultParagraphFont"/>
    <w:uiPriority w:val="20"/>
    <w:qFormat/>
    <w:rsid w:val="003F0377"/>
    <w:rPr>
      <w:i/>
      <w:iCs/>
    </w:rPr>
  </w:style>
  <w:style w:type="paragraph" w:styleId="ListParagraph">
    <w:name w:val="List Paragraph"/>
    <w:basedOn w:val="Normal"/>
    <w:uiPriority w:val="34"/>
    <w:qFormat/>
    <w:rsid w:val="003F0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056417">
      <w:bodyDiv w:val="1"/>
      <w:marLeft w:val="0"/>
      <w:marRight w:val="0"/>
      <w:marTop w:val="0"/>
      <w:marBottom w:val="0"/>
      <w:divBdr>
        <w:top w:val="none" w:sz="0" w:space="0" w:color="auto"/>
        <w:left w:val="none" w:sz="0" w:space="0" w:color="auto"/>
        <w:bottom w:val="none" w:sz="0" w:space="0" w:color="auto"/>
        <w:right w:val="none" w:sz="0" w:space="0" w:color="auto"/>
      </w:divBdr>
      <w:divsChild>
        <w:div w:id="2048600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23/51/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rcentre.uk.brightmine.com/leading-practice-guides/developing-and-implementing-a-wellbeing-programme-why-employers-need-to-invest-in-employee-wellbeing/11142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centre.uk.brightmine.com/leading-practice-guides/addressing-and-preventing-workplace-bullying-understanding-bullying/115321/" TargetMode="External"/><Relationship Id="rId11" Type="http://schemas.openxmlformats.org/officeDocument/2006/relationships/hyperlink" Target="https://www.equalityhumanrights.com/guidance/sexual-harassment-and-harassment-work-technical-guidance" TargetMode="External"/><Relationship Id="rId5" Type="http://schemas.openxmlformats.org/officeDocument/2006/relationships/hyperlink" Target="https://hrcentre.uk.brightmine.com/employment-law-guide/harassment/164887/" TargetMode="External"/><Relationship Id="rId10" Type="http://schemas.openxmlformats.org/officeDocument/2006/relationships/hyperlink" Target="https://www.legislation.gov.uk/ukpga/2023/51/contents" TargetMode="External"/><Relationship Id="rId4" Type="http://schemas.openxmlformats.org/officeDocument/2006/relationships/webSettings" Target="webSettings.xml"/><Relationship Id="rId9" Type="http://schemas.openxmlformats.org/officeDocument/2006/relationships/hyperlink" Target="https://www.equalityhumanrights.com/guidance/sexual-harassment-and-harassment-work-technical-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6105</Characters>
  <Application>Microsoft Office Word</Application>
  <DocSecurity>4</DocSecurity>
  <Lines>50</Lines>
  <Paragraphs>14</Paragraphs>
  <ScaleCrop>false</ScaleCrop>
  <Company>London Borough of Southwark</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Moussa, Shereen</dc:creator>
  <cp:keywords/>
  <dc:description/>
  <cp:lastModifiedBy>Brown, Fiona</cp:lastModifiedBy>
  <cp:revision>2</cp:revision>
  <dcterms:created xsi:type="dcterms:W3CDTF">2024-11-08T15:59:00Z</dcterms:created>
  <dcterms:modified xsi:type="dcterms:W3CDTF">2024-11-08T15:59:00Z</dcterms:modified>
</cp:coreProperties>
</file>