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884" w:rsidRPr="009326B6" w:rsidRDefault="00E2347C" w:rsidP="004039D4">
      <w:pPr>
        <w:jc w:val="center"/>
        <w:rPr>
          <w:b/>
          <w:u w:val="single"/>
        </w:rPr>
      </w:pPr>
      <w:r w:rsidRPr="009326B6">
        <w:rPr>
          <w:b/>
          <w:u w:val="single"/>
        </w:rPr>
        <w:t>[</w:t>
      </w:r>
      <w:r w:rsidRPr="00142E4F">
        <w:rPr>
          <w:b/>
          <w:color w:val="4F81BD" w:themeColor="accent1"/>
          <w:u w:val="single"/>
        </w:rPr>
        <w:t>Name</w:t>
      </w:r>
      <w:r w:rsidRPr="009326B6">
        <w:rPr>
          <w:b/>
          <w:u w:val="single"/>
        </w:rPr>
        <w:t>] School</w:t>
      </w:r>
    </w:p>
    <w:p w:rsidR="006D0055" w:rsidRDefault="00E2347C" w:rsidP="004039D4">
      <w:pPr>
        <w:jc w:val="center"/>
        <w:rPr>
          <w:b/>
        </w:rPr>
      </w:pPr>
      <w:r w:rsidRPr="004039D4">
        <w:rPr>
          <w:b/>
        </w:rPr>
        <w:t xml:space="preserve">Report to the Governing Body on </w:t>
      </w:r>
    </w:p>
    <w:p w:rsidR="00E2347C" w:rsidRPr="004039D4" w:rsidRDefault="00E2347C" w:rsidP="004039D4">
      <w:pPr>
        <w:jc w:val="center"/>
        <w:rPr>
          <w:b/>
        </w:rPr>
      </w:pPr>
      <w:r w:rsidRPr="004039D4">
        <w:rPr>
          <w:b/>
        </w:rPr>
        <w:t xml:space="preserve">Teachers’ </w:t>
      </w:r>
      <w:r w:rsidR="009F2ECD">
        <w:rPr>
          <w:b/>
        </w:rPr>
        <w:t>Appraisal</w:t>
      </w:r>
      <w:r w:rsidR="006D0055">
        <w:rPr>
          <w:b/>
        </w:rPr>
        <w:t xml:space="preserve"> and Pay Recommendations</w:t>
      </w:r>
    </w:p>
    <w:p w:rsidR="00E2347C" w:rsidRPr="004039D4" w:rsidRDefault="00E2347C" w:rsidP="004039D4">
      <w:pPr>
        <w:jc w:val="center"/>
        <w:rPr>
          <w:b/>
        </w:rPr>
      </w:pPr>
      <w:r w:rsidRPr="004039D4">
        <w:rPr>
          <w:b/>
        </w:rPr>
        <w:t>[</w:t>
      </w:r>
      <w:proofErr w:type="gramStart"/>
      <w:r w:rsidRPr="00142E4F">
        <w:rPr>
          <w:b/>
          <w:color w:val="4F81BD" w:themeColor="accent1"/>
        </w:rPr>
        <w:t>date</w:t>
      </w:r>
      <w:proofErr w:type="gramEnd"/>
      <w:r w:rsidRPr="004039D4">
        <w:rPr>
          <w:b/>
        </w:rPr>
        <w:t>]</w:t>
      </w:r>
    </w:p>
    <w:p w:rsidR="00E2347C" w:rsidRDefault="00E2347C">
      <w:pPr>
        <w:pBdr>
          <w:bottom w:val="single" w:sz="12" w:space="1" w:color="auto"/>
        </w:pBdr>
      </w:pPr>
    </w:p>
    <w:p w:rsidR="00E2347C" w:rsidRDefault="00E2347C"/>
    <w:p w:rsidR="00E2347C" w:rsidRDefault="00E2347C">
      <w:pPr>
        <w:rPr>
          <w:b/>
        </w:rPr>
      </w:pPr>
      <w:r>
        <w:rPr>
          <w:b/>
        </w:rPr>
        <w:t>Introduction</w:t>
      </w:r>
    </w:p>
    <w:p w:rsidR="00E2347C" w:rsidRDefault="00E2347C">
      <w:r>
        <w:t>This report is produced by [</w:t>
      </w:r>
      <w:r w:rsidRPr="009F2ECD">
        <w:rPr>
          <w:color w:val="365F91" w:themeColor="accent1" w:themeShade="BF"/>
        </w:rPr>
        <w:t>the head teacher</w:t>
      </w:r>
      <w:r>
        <w:t xml:space="preserve">] for the purpose of monitoring the implementation of the teachers’ appraisal </w:t>
      </w:r>
      <w:r w:rsidR="00142E4F">
        <w:t>and pay polic</w:t>
      </w:r>
      <w:r w:rsidR="00D7762B">
        <w:t>ies</w:t>
      </w:r>
      <w:r>
        <w:t xml:space="preserve"> at [</w:t>
      </w:r>
      <w:r w:rsidRPr="009F2ECD">
        <w:rPr>
          <w:color w:val="365F91" w:themeColor="accent1" w:themeShade="BF"/>
        </w:rPr>
        <w:t>name</w:t>
      </w:r>
      <w:r>
        <w:t>] school.</w:t>
      </w:r>
    </w:p>
    <w:p w:rsidR="00E2347C" w:rsidRDefault="00E2347C">
      <w:r>
        <w:t>The current teachers’ appraisal policy was adopted by the governing body on [</w:t>
      </w:r>
      <w:r w:rsidRPr="009F2ECD">
        <w:rPr>
          <w:color w:val="365F91" w:themeColor="accent1" w:themeShade="BF"/>
        </w:rPr>
        <w:t>date</w:t>
      </w:r>
      <w:r>
        <w:t>] and applies to all teaching staff directly employed by the school.</w:t>
      </w:r>
      <w:r w:rsidR="00142E4F">
        <w:t xml:space="preserve">  The current whole school pay policy was adopted by the governing body on [</w:t>
      </w:r>
      <w:r w:rsidR="00142E4F" w:rsidRPr="00142E4F">
        <w:rPr>
          <w:color w:val="4F81BD" w:themeColor="accent1"/>
        </w:rPr>
        <w:t>date</w:t>
      </w:r>
      <w:r w:rsidR="00142E4F">
        <w:t>] and applies to all staff directly employed by the school.</w:t>
      </w:r>
    </w:p>
    <w:p w:rsidR="00E2347C" w:rsidRDefault="00E2347C">
      <w:r>
        <w:t>Th</w:t>
      </w:r>
      <w:r w:rsidR="004039D4">
        <w:t>is report relat</w:t>
      </w:r>
      <w:r>
        <w:t>e</w:t>
      </w:r>
      <w:r w:rsidR="004039D4">
        <w:t xml:space="preserve">s to the </w:t>
      </w:r>
      <w:r>
        <w:t>appraisal year from [</w:t>
      </w:r>
      <w:r w:rsidRPr="009F2ECD">
        <w:rPr>
          <w:color w:val="365F91" w:themeColor="accent1" w:themeShade="BF"/>
        </w:rPr>
        <w:t>1 September</w:t>
      </w:r>
      <w:r w:rsidR="004039D4" w:rsidRPr="009F2ECD">
        <w:rPr>
          <w:color w:val="365F91" w:themeColor="accent1" w:themeShade="BF"/>
        </w:rPr>
        <w:t xml:space="preserve"> 2</w:t>
      </w:r>
      <w:r w:rsidR="00142E4F">
        <w:rPr>
          <w:color w:val="365F91" w:themeColor="accent1" w:themeShade="BF"/>
        </w:rPr>
        <w:t xml:space="preserve">0YY] </w:t>
      </w:r>
      <w:r>
        <w:t>to [</w:t>
      </w:r>
      <w:r w:rsidRPr="009F2ECD">
        <w:rPr>
          <w:color w:val="365F91" w:themeColor="accent1" w:themeShade="BF"/>
        </w:rPr>
        <w:t>31 August</w:t>
      </w:r>
      <w:r w:rsidR="00142E4F">
        <w:rPr>
          <w:color w:val="365F91" w:themeColor="accent1" w:themeShade="BF"/>
        </w:rPr>
        <w:t xml:space="preserve"> 20YY</w:t>
      </w:r>
      <w:r w:rsidR="004039D4">
        <w:t>] and recommendations on pay which take effect from 1 September [</w:t>
      </w:r>
      <w:r w:rsidR="00142E4F">
        <w:rPr>
          <w:color w:val="365F91" w:themeColor="accent1" w:themeShade="BF"/>
        </w:rPr>
        <w:t>20YY</w:t>
      </w:r>
      <w:r w:rsidR="004039D4">
        <w:t>].</w:t>
      </w:r>
    </w:p>
    <w:p w:rsidR="00E2347C" w:rsidRDefault="004039D4">
      <w:pPr>
        <w:rPr>
          <w:b/>
        </w:rPr>
      </w:pPr>
      <w:r>
        <w:rPr>
          <w:b/>
        </w:rPr>
        <w:t>Context</w:t>
      </w:r>
    </w:p>
    <w:p w:rsidR="004039D4" w:rsidRDefault="004039D4">
      <w:r>
        <w:t xml:space="preserve">The whole school improvement targets for this appraisal year </w:t>
      </w:r>
      <w:r w:rsidR="00804B2E">
        <w:t>we</w:t>
      </w:r>
      <w:r>
        <w:t>re:</w:t>
      </w:r>
    </w:p>
    <w:p w:rsidR="004039D4" w:rsidRDefault="004039D4" w:rsidP="009326B6">
      <w:pPr>
        <w:pStyle w:val="ListParagraph"/>
        <w:numPr>
          <w:ilvl w:val="0"/>
          <w:numId w:val="2"/>
        </w:numPr>
      </w:pPr>
      <w:r>
        <w:t>[</w:t>
      </w:r>
      <w:r w:rsidRPr="009F2ECD">
        <w:rPr>
          <w:color w:val="365F91" w:themeColor="accent1" w:themeShade="BF"/>
        </w:rPr>
        <w:t>list</w:t>
      </w:r>
      <w:r>
        <w:t>]</w:t>
      </w:r>
    </w:p>
    <w:p w:rsidR="00804B2E" w:rsidRDefault="00804B2E">
      <w:r>
        <w:t>These targets have been used to inform individual objectives for each teacher.</w:t>
      </w:r>
      <w:r w:rsidR="00F14270">
        <w:t xml:space="preserve">  The progress towards whole school targets has been [</w:t>
      </w:r>
      <w:r w:rsidR="00F14270" w:rsidRPr="009F2ECD">
        <w:rPr>
          <w:color w:val="365F91" w:themeColor="accent1" w:themeShade="BF"/>
        </w:rPr>
        <w:t>summarise achievements</w:t>
      </w:r>
      <w:r w:rsidR="00F14270">
        <w:t>].</w:t>
      </w:r>
    </w:p>
    <w:p w:rsidR="00804B2E" w:rsidRDefault="00804B2E">
      <w:r>
        <w:t>As at 31 August [</w:t>
      </w:r>
      <w:r w:rsidR="00142E4F">
        <w:rPr>
          <w:color w:val="365F91" w:themeColor="accent1" w:themeShade="BF"/>
        </w:rPr>
        <w:t>20YY</w:t>
      </w:r>
      <w:r>
        <w:t>], the number of teachers at each pay point on the schools pay scales is as follows:</w:t>
      </w:r>
    </w:p>
    <w:tbl>
      <w:tblPr>
        <w:tblStyle w:val="TableGrid"/>
        <w:tblW w:w="9366" w:type="dxa"/>
        <w:tblLook w:val="04A0" w:firstRow="1" w:lastRow="0" w:firstColumn="1" w:lastColumn="0" w:noHBand="0" w:noVBand="1"/>
      </w:tblPr>
      <w:tblGrid>
        <w:gridCol w:w="1706"/>
        <w:gridCol w:w="1730"/>
        <w:gridCol w:w="2045"/>
        <w:gridCol w:w="2045"/>
        <w:gridCol w:w="1840"/>
      </w:tblGrid>
      <w:tr w:rsidR="00F14270" w:rsidTr="00F14270">
        <w:tc>
          <w:tcPr>
            <w:tcW w:w="1706" w:type="dxa"/>
          </w:tcPr>
          <w:p w:rsidR="00F14270" w:rsidRDefault="00F14270">
            <w:r>
              <w:t>Teacher</w:t>
            </w:r>
          </w:p>
        </w:tc>
        <w:tc>
          <w:tcPr>
            <w:tcW w:w="1730" w:type="dxa"/>
          </w:tcPr>
          <w:p w:rsidR="00F14270" w:rsidRDefault="00F14270">
            <w:r>
              <w:t>Pay Point</w:t>
            </w:r>
          </w:p>
        </w:tc>
        <w:tc>
          <w:tcPr>
            <w:tcW w:w="2045" w:type="dxa"/>
          </w:tcPr>
          <w:p w:rsidR="00F14270" w:rsidRDefault="00F14270" w:rsidP="00F14270">
            <w:r>
              <w:t>Additional payments in place</w:t>
            </w:r>
          </w:p>
        </w:tc>
        <w:tc>
          <w:tcPr>
            <w:tcW w:w="2045" w:type="dxa"/>
          </w:tcPr>
          <w:p w:rsidR="00F14270" w:rsidRDefault="00F14270">
            <w:r>
              <w:t>Eligible for progression?</w:t>
            </w:r>
          </w:p>
        </w:tc>
        <w:tc>
          <w:tcPr>
            <w:tcW w:w="1840" w:type="dxa"/>
          </w:tcPr>
          <w:p w:rsidR="00F14270" w:rsidRDefault="00F14270">
            <w:r>
              <w:t>Applied for Upper Pay Range?</w:t>
            </w:r>
          </w:p>
        </w:tc>
      </w:tr>
      <w:tr w:rsidR="00F14270" w:rsidTr="00F14270">
        <w:tc>
          <w:tcPr>
            <w:tcW w:w="1706" w:type="dxa"/>
          </w:tcPr>
          <w:p w:rsidR="00F14270" w:rsidRDefault="00F14270">
            <w:r>
              <w:t>A</w:t>
            </w:r>
          </w:p>
        </w:tc>
        <w:tc>
          <w:tcPr>
            <w:tcW w:w="1730" w:type="dxa"/>
          </w:tcPr>
          <w:p w:rsidR="00F14270" w:rsidRPr="009F2ECD" w:rsidRDefault="00D1366E" w:rsidP="00D1366E">
            <w:pPr>
              <w:rPr>
                <w:color w:val="365F91" w:themeColor="accent1" w:themeShade="BF"/>
              </w:rPr>
            </w:pPr>
            <w:r>
              <w:rPr>
                <w:color w:val="365F91" w:themeColor="accent1" w:themeShade="BF"/>
              </w:rPr>
              <w:t>Examples…</w:t>
            </w:r>
          </w:p>
        </w:tc>
        <w:tc>
          <w:tcPr>
            <w:tcW w:w="2045" w:type="dxa"/>
          </w:tcPr>
          <w:p w:rsidR="00F14270" w:rsidRPr="009F2ECD" w:rsidRDefault="00F14270" w:rsidP="00F14270">
            <w:pPr>
              <w:rPr>
                <w:color w:val="365F91" w:themeColor="accent1" w:themeShade="BF"/>
              </w:rPr>
            </w:pPr>
          </w:p>
        </w:tc>
        <w:tc>
          <w:tcPr>
            <w:tcW w:w="2045" w:type="dxa"/>
          </w:tcPr>
          <w:p w:rsidR="00F14270" w:rsidRPr="009F2ECD" w:rsidRDefault="00F14270">
            <w:pPr>
              <w:rPr>
                <w:color w:val="365F91" w:themeColor="accent1" w:themeShade="BF"/>
              </w:rPr>
            </w:pPr>
            <w:r w:rsidRPr="009F2ECD">
              <w:rPr>
                <w:color w:val="365F91" w:themeColor="accent1" w:themeShade="BF"/>
              </w:rPr>
              <w:t>Y</w:t>
            </w:r>
          </w:p>
        </w:tc>
        <w:tc>
          <w:tcPr>
            <w:tcW w:w="1840" w:type="dxa"/>
          </w:tcPr>
          <w:p w:rsidR="00F14270" w:rsidRPr="009F2ECD" w:rsidRDefault="00F14270">
            <w:pPr>
              <w:rPr>
                <w:color w:val="365F91" w:themeColor="accent1" w:themeShade="BF"/>
              </w:rPr>
            </w:pPr>
          </w:p>
        </w:tc>
      </w:tr>
      <w:tr w:rsidR="00F14270" w:rsidTr="00F14270">
        <w:tc>
          <w:tcPr>
            <w:tcW w:w="1706" w:type="dxa"/>
          </w:tcPr>
          <w:p w:rsidR="00F14270" w:rsidRDefault="00F14270">
            <w:r>
              <w:t>B</w:t>
            </w:r>
          </w:p>
        </w:tc>
        <w:tc>
          <w:tcPr>
            <w:tcW w:w="1730" w:type="dxa"/>
          </w:tcPr>
          <w:p w:rsidR="00F14270" w:rsidRPr="009F2ECD" w:rsidRDefault="00F14270">
            <w:pPr>
              <w:rPr>
                <w:color w:val="365F91" w:themeColor="accent1" w:themeShade="BF"/>
              </w:rPr>
            </w:pPr>
            <w:r w:rsidRPr="009F2ECD">
              <w:rPr>
                <w:color w:val="365F91" w:themeColor="accent1" w:themeShade="BF"/>
              </w:rPr>
              <w:t>M2</w:t>
            </w:r>
          </w:p>
        </w:tc>
        <w:tc>
          <w:tcPr>
            <w:tcW w:w="2045" w:type="dxa"/>
          </w:tcPr>
          <w:p w:rsidR="00F14270" w:rsidRPr="009F2ECD" w:rsidRDefault="00F14270" w:rsidP="00F14270">
            <w:pPr>
              <w:rPr>
                <w:color w:val="365F91" w:themeColor="accent1" w:themeShade="BF"/>
              </w:rPr>
            </w:pPr>
          </w:p>
        </w:tc>
        <w:tc>
          <w:tcPr>
            <w:tcW w:w="2045" w:type="dxa"/>
          </w:tcPr>
          <w:p w:rsidR="00F14270" w:rsidRPr="009F2ECD" w:rsidRDefault="00F14270">
            <w:pPr>
              <w:rPr>
                <w:color w:val="365F91" w:themeColor="accent1" w:themeShade="BF"/>
              </w:rPr>
            </w:pPr>
            <w:r w:rsidRPr="009F2ECD">
              <w:rPr>
                <w:color w:val="365F91" w:themeColor="accent1" w:themeShade="BF"/>
              </w:rPr>
              <w:t>Y</w:t>
            </w:r>
          </w:p>
        </w:tc>
        <w:tc>
          <w:tcPr>
            <w:tcW w:w="1840" w:type="dxa"/>
          </w:tcPr>
          <w:p w:rsidR="00F14270" w:rsidRPr="009F2ECD" w:rsidRDefault="00F14270">
            <w:pPr>
              <w:rPr>
                <w:color w:val="365F91" w:themeColor="accent1" w:themeShade="BF"/>
              </w:rPr>
            </w:pPr>
          </w:p>
        </w:tc>
      </w:tr>
      <w:tr w:rsidR="00F14270" w:rsidTr="00F14270">
        <w:tc>
          <w:tcPr>
            <w:tcW w:w="1706" w:type="dxa"/>
          </w:tcPr>
          <w:p w:rsidR="00F14270" w:rsidRDefault="00F14270">
            <w:r>
              <w:t>C</w:t>
            </w:r>
          </w:p>
        </w:tc>
        <w:tc>
          <w:tcPr>
            <w:tcW w:w="1730" w:type="dxa"/>
          </w:tcPr>
          <w:p w:rsidR="00F14270" w:rsidRPr="009F2ECD" w:rsidRDefault="00F14270">
            <w:pPr>
              <w:rPr>
                <w:color w:val="365F91" w:themeColor="accent1" w:themeShade="BF"/>
              </w:rPr>
            </w:pPr>
            <w:r w:rsidRPr="009F2ECD">
              <w:rPr>
                <w:color w:val="365F91" w:themeColor="accent1" w:themeShade="BF"/>
              </w:rPr>
              <w:t>M3</w:t>
            </w:r>
          </w:p>
        </w:tc>
        <w:tc>
          <w:tcPr>
            <w:tcW w:w="2045" w:type="dxa"/>
          </w:tcPr>
          <w:p w:rsidR="00F14270" w:rsidRPr="009F2ECD" w:rsidRDefault="00F14270" w:rsidP="00F14270">
            <w:pPr>
              <w:rPr>
                <w:color w:val="365F91" w:themeColor="accent1" w:themeShade="BF"/>
              </w:rPr>
            </w:pPr>
          </w:p>
        </w:tc>
        <w:tc>
          <w:tcPr>
            <w:tcW w:w="2045" w:type="dxa"/>
          </w:tcPr>
          <w:p w:rsidR="00F14270" w:rsidRPr="009F2ECD" w:rsidRDefault="00F14270">
            <w:pPr>
              <w:rPr>
                <w:color w:val="365F91" w:themeColor="accent1" w:themeShade="BF"/>
              </w:rPr>
            </w:pPr>
            <w:r w:rsidRPr="009F2ECD">
              <w:rPr>
                <w:color w:val="365F91" w:themeColor="accent1" w:themeShade="BF"/>
              </w:rPr>
              <w:t>Y</w:t>
            </w:r>
          </w:p>
        </w:tc>
        <w:tc>
          <w:tcPr>
            <w:tcW w:w="1840" w:type="dxa"/>
          </w:tcPr>
          <w:p w:rsidR="00F14270" w:rsidRPr="009F2ECD" w:rsidRDefault="00F14270">
            <w:pPr>
              <w:rPr>
                <w:color w:val="365F91" w:themeColor="accent1" w:themeShade="BF"/>
              </w:rPr>
            </w:pPr>
          </w:p>
        </w:tc>
      </w:tr>
      <w:tr w:rsidR="00D90D12" w:rsidTr="00F14270">
        <w:tc>
          <w:tcPr>
            <w:tcW w:w="1706" w:type="dxa"/>
          </w:tcPr>
          <w:p w:rsidR="00D90D12" w:rsidRDefault="00D90D12">
            <w:r>
              <w:t>D</w:t>
            </w:r>
          </w:p>
        </w:tc>
        <w:tc>
          <w:tcPr>
            <w:tcW w:w="1730" w:type="dxa"/>
          </w:tcPr>
          <w:p w:rsidR="00D90D12" w:rsidRPr="009F2ECD" w:rsidRDefault="00D90D12">
            <w:pPr>
              <w:rPr>
                <w:color w:val="365F91" w:themeColor="accent1" w:themeShade="BF"/>
              </w:rPr>
            </w:pPr>
            <w:r w:rsidRPr="009F2ECD">
              <w:rPr>
                <w:color w:val="365F91" w:themeColor="accent1" w:themeShade="BF"/>
              </w:rPr>
              <w:t>M5</w:t>
            </w:r>
          </w:p>
        </w:tc>
        <w:tc>
          <w:tcPr>
            <w:tcW w:w="2045" w:type="dxa"/>
          </w:tcPr>
          <w:p w:rsidR="00D90D12" w:rsidRPr="009F2ECD" w:rsidRDefault="00D90D12" w:rsidP="00F14270">
            <w:pPr>
              <w:rPr>
                <w:color w:val="365F91" w:themeColor="accent1" w:themeShade="BF"/>
              </w:rPr>
            </w:pPr>
            <w:r w:rsidRPr="009F2ECD">
              <w:rPr>
                <w:color w:val="365F91" w:themeColor="accent1" w:themeShade="BF"/>
              </w:rPr>
              <w:t>TLR</w:t>
            </w:r>
            <w:r w:rsidR="00D1366E">
              <w:rPr>
                <w:color w:val="365F91" w:themeColor="accent1" w:themeShade="BF"/>
              </w:rPr>
              <w:t>2</w:t>
            </w:r>
          </w:p>
        </w:tc>
        <w:tc>
          <w:tcPr>
            <w:tcW w:w="2045" w:type="dxa"/>
          </w:tcPr>
          <w:p w:rsidR="00D90D12" w:rsidRPr="009F2ECD" w:rsidRDefault="00D90D12">
            <w:pPr>
              <w:rPr>
                <w:color w:val="365F91" w:themeColor="accent1" w:themeShade="BF"/>
              </w:rPr>
            </w:pPr>
            <w:r w:rsidRPr="009F2ECD">
              <w:rPr>
                <w:color w:val="365F91" w:themeColor="accent1" w:themeShade="BF"/>
              </w:rPr>
              <w:t>Y</w:t>
            </w:r>
          </w:p>
        </w:tc>
        <w:tc>
          <w:tcPr>
            <w:tcW w:w="1840" w:type="dxa"/>
          </w:tcPr>
          <w:p w:rsidR="00D90D12" w:rsidRPr="009F2ECD" w:rsidRDefault="00D90D12">
            <w:pPr>
              <w:rPr>
                <w:color w:val="365F91" w:themeColor="accent1" w:themeShade="BF"/>
              </w:rPr>
            </w:pPr>
          </w:p>
        </w:tc>
      </w:tr>
      <w:tr w:rsidR="00D90D12" w:rsidTr="00F14270">
        <w:tc>
          <w:tcPr>
            <w:tcW w:w="1706" w:type="dxa"/>
          </w:tcPr>
          <w:p w:rsidR="00D90D12" w:rsidRDefault="00D90D12">
            <w:r>
              <w:t>E</w:t>
            </w:r>
          </w:p>
        </w:tc>
        <w:tc>
          <w:tcPr>
            <w:tcW w:w="1730" w:type="dxa"/>
          </w:tcPr>
          <w:p w:rsidR="00D90D12" w:rsidRPr="009F2ECD" w:rsidRDefault="00D90D12">
            <w:pPr>
              <w:rPr>
                <w:color w:val="365F91" w:themeColor="accent1" w:themeShade="BF"/>
              </w:rPr>
            </w:pPr>
            <w:r w:rsidRPr="009F2ECD">
              <w:rPr>
                <w:color w:val="365F91" w:themeColor="accent1" w:themeShade="BF"/>
              </w:rPr>
              <w:t>M6</w:t>
            </w:r>
          </w:p>
        </w:tc>
        <w:tc>
          <w:tcPr>
            <w:tcW w:w="2045" w:type="dxa"/>
          </w:tcPr>
          <w:p w:rsidR="00D90D12" w:rsidRPr="009F2ECD" w:rsidRDefault="00D1366E" w:rsidP="00F14270">
            <w:pPr>
              <w:rPr>
                <w:color w:val="365F91" w:themeColor="accent1" w:themeShade="BF"/>
              </w:rPr>
            </w:pPr>
            <w:r w:rsidRPr="009F2ECD">
              <w:rPr>
                <w:color w:val="365F91" w:themeColor="accent1" w:themeShade="BF"/>
              </w:rPr>
              <w:t>SEN</w:t>
            </w:r>
          </w:p>
        </w:tc>
        <w:tc>
          <w:tcPr>
            <w:tcW w:w="2045" w:type="dxa"/>
          </w:tcPr>
          <w:p w:rsidR="00D90D12" w:rsidRPr="009F2ECD" w:rsidRDefault="00D90D12">
            <w:pPr>
              <w:rPr>
                <w:color w:val="365F91" w:themeColor="accent1" w:themeShade="BF"/>
              </w:rPr>
            </w:pPr>
            <w:r w:rsidRPr="009F2ECD">
              <w:rPr>
                <w:color w:val="365F91" w:themeColor="accent1" w:themeShade="BF"/>
              </w:rPr>
              <w:t>N</w:t>
            </w:r>
          </w:p>
        </w:tc>
        <w:tc>
          <w:tcPr>
            <w:tcW w:w="1840" w:type="dxa"/>
          </w:tcPr>
          <w:p w:rsidR="00D90D12" w:rsidRPr="009F2ECD" w:rsidRDefault="00D90D12">
            <w:pPr>
              <w:rPr>
                <w:color w:val="365F91" w:themeColor="accent1" w:themeShade="BF"/>
              </w:rPr>
            </w:pPr>
          </w:p>
        </w:tc>
      </w:tr>
      <w:tr w:rsidR="00D90D12" w:rsidTr="00F14270">
        <w:tc>
          <w:tcPr>
            <w:tcW w:w="1706" w:type="dxa"/>
          </w:tcPr>
          <w:p w:rsidR="00D90D12" w:rsidRDefault="00D90D12">
            <w:r>
              <w:t>F</w:t>
            </w:r>
          </w:p>
        </w:tc>
        <w:tc>
          <w:tcPr>
            <w:tcW w:w="1730" w:type="dxa"/>
          </w:tcPr>
          <w:p w:rsidR="00D90D12" w:rsidRPr="009F2ECD" w:rsidRDefault="00D90D12">
            <w:pPr>
              <w:rPr>
                <w:color w:val="365F91" w:themeColor="accent1" w:themeShade="BF"/>
              </w:rPr>
            </w:pPr>
            <w:r w:rsidRPr="009F2ECD">
              <w:rPr>
                <w:color w:val="365F91" w:themeColor="accent1" w:themeShade="BF"/>
              </w:rPr>
              <w:t>M6</w:t>
            </w:r>
          </w:p>
        </w:tc>
        <w:tc>
          <w:tcPr>
            <w:tcW w:w="2045" w:type="dxa"/>
          </w:tcPr>
          <w:p w:rsidR="00D90D12" w:rsidRPr="009F2ECD" w:rsidRDefault="00D90D12" w:rsidP="00F14270">
            <w:pPr>
              <w:rPr>
                <w:color w:val="365F91" w:themeColor="accent1" w:themeShade="BF"/>
              </w:rPr>
            </w:pPr>
          </w:p>
        </w:tc>
        <w:tc>
          <w:tcPr>
            <w:tcW w:w="2045" w:type="dxa"/>
          </w:tcPr>
          <w:p w:rsidR="00D90D12" w:rsidRPr="009F2ECD" w:rsidRDefault="00D90D12">
            <w:pPr>
              <w:rPr>
                <w:color w:val="365F91" w:themeColor="accent1" w:themeShade="BF"/>
              </w:rPr>
            </w:pPr>
            <w:r w:rsidRPr="009F2ECD">
              <w:rPr>
                <w:color w:val="365F91" w:themeColor="accent1" w:themeShade="BF"/>
              </w:rPr>
              <w:t>N</w:t>
            </w:r>
          </w:p>
        </w:tc>
        <w:tc>
          <w:tcPr>
            <w:tcW w:w="1840" w:type="dxa"/>
          </w:tcPr>
          <w:p w:rsidR="00D90D12" w:rsidRPr="009F2ECD" w:rsidRDefault="00D90D12">
            <w:pPr>
              <w:rPr>
                <w:color w:val="365F91" w:themeColor="accent1" w:themeShade="BF"/>
              </w:rPr>
            </w:pPr>
            <w:r w:rsidRPr="009F2ECD">
              <w:rPr>
                <w:color w:val="365F91" w:themeColor="accent1" w:themeShade="BF"/>
              </w:rPr>
              <w:t>Y</w:t>
            </w:r>
          </w:p>
        </w:tc>
      </w:tr>
      <w:tr w:rsidR="00D90D12" w:rsidTr="00F14270">
        <w:tc>
          <w:tcPr>
            <w:tcW w:w="1706" w:type="dxa"/>
          </w:tcPr>
          <w:p w:rsidR="00D90D12" w:rsidRDefault="00D90D12">
            <w:r>
              <w:t>G</w:t>
            </w:r>
          </w:p>
        </w:tc>
        <w:tc>
          <w:tcPr>
            <w:tcW w:w="1730" w:type="dxa"/>
          </w:tcPr>
          <w:p w:rsidR="00D90D12" w:rsidRPr="009F2ECD" w:rsidRDefault="00D90D12">
            <w:pPr>
              <w:rPr>
                <w:color w:val="365F91" w:themeColor="accent1" w:themeShade="BF"/>
              </w:rPr>
            </w:pPr>
            <w:r w:rsidRPr="009F2ECD">
              <w:rPr>
                <w:color w:val="365F91" w:themeColor="accent1" w:themeShade="BF"/>
              </w:rPr>
              <w:t>U2</w:t>
            </w:r>
          </w:p>
        </w:tc>
        <w:tc>
          <w:tcPr>
            <w:tcW w:w="2045" w:type="dxa"/>
          </w:tcPr>
          <w:p w:rsidR="00D90D12" w:rsidRPr="009F2ECD" w:rsidRDefault="00D90D12" w:rsidP="00F14270">
            <w:pPr>
              <w:rPr>
                <w:color w:val="365F91" w:themeColor="accent1" w:themeShade="BF"/>
              </w:rPr>
            </w:pPr>
          </w:p>
        </w:tc>
        <w:tc>
          <w:tcPr>
            <w:tcW w:w="2045" w:type="dxa"/>
          </w:tcPr>
          <w:p w:rsidR="00D90D12" w:rsidRPr="009F2ECD" w:rsidRDefault="00D90D12">
            <w:pPr>
              <w:rPr>
                <w:color w:val="365F91" w:themeColor="accent1" w:themeShade="BF"/>
              </w:rPr>
            </w:pPr>
            <w:r w:rsidRPr="009F2ECD">
              <w:rPr>
                <w:color w:val="365F91" w:themeColor="accent1" w:themeShade="BF"/>
              </w:rPr>
              <w:t>Y</w:t>
            </w:r>
          </w:p>
        </w:tc>
        <w:tc>
          <w:tcPr>
            <w:tcW w:w="1840" w:type="dxa"/>
          </w:tcPr>
          <w:p w:rsidR="00D90D12" w:rsidRPr="009F2ECD" w:rsidRDefault="00D90D12">
            <w:pPr>
              <w:rPr>
                <w:color w:val="365F91" w:themeColor="accent1" w:themeShade="BF"/>
              </w:rPr>
            </w:pPr>
          </w:p>
        </w:tc>
      </w:tr>
      <w:tr w:rsidR="00D90D12" w:rsidTr="00F14270">
        <w:tc>
          <w:tcPr>
            <w:tcW w:w="1706" w:type="dxa"/>
          </w:tcPr>
          <w:p w:rsidR="00D90D12" w:rsidRDefault="00D90D12">
            <w:r>
              <w:t>H</w:t>
            </w:r>
          </w:p>
        </w:tc>
        <w:tc>
          <w:tcPr>
            <w:tcW w:w="1730" w:type="dxa"/>
          </w:tcPr>
          <w:p w:rsidR="00D90D12" w:rsidRPr="009F2ECD" w:rsidRDefault="00D90D12">
            <w:pPr>
              <w:rPr>
                <w:color w:val="365F91" w:themeColor="accent1" w:themeShade="BF"/>
              </w:rPr>
            </w:pPr>
            <w:r w:rsidRPr="009F2ECD">
              <w:rPr>
                <w:color w:val="365F91" w:themeColor="accent1" w:themeShade="BF"/>
              </w:rPr>
              <w:t>U3</w:t>
            </w:r>
          </w:p>
        </w:tc>
        <w:tc>
          <w:tcPr>
            <w:tcW w:w="2045" w:type="dxa"/>
          </w:tcPr>
          <w:p w:rsidR="00D90D12" w:rsidRPr="009F2ECD" w:rsidRDefault="00D90D12" w:rsidP="00F14270">
            <w:pPr>
              <w:rPr>
                <w:color w:val="365F91" w:themeColor="accent1" w:themeShade="BF"/>
              </w:rPr>
            </w:pPr>
            <w:r w:rsidRPr="009F2ECD">
              <w:rPr>
                <w:color w:val="365F91" w:themeColor="accent1" w:themeShade="BF"/>
              </w:rPr>
              <w:t>TLR</w:t>
            </w:r>
            <w:r w:rsidR="00D1366E">
              <w:rPr>
                <w:color w:val="365F91" w:themeColor="accent1" w:themeShade="BF"/>
              </w:rPr>
              <w:t>1</w:t>
            </w:r>
          </w:p>
        </w:tc>
        <w:tc>
          <w:tcPr>
            <w:tcW w:w="2045" w:type="dxa"/>
          </w:tcPr>
          <w:p w:rsidR="00D90D12" w:rsidRPr="009F2ECD" w:rsidRDefault="00D90D12">
            <w:pPr>
              <w:rPr>
                <w:color w:val="365F91" w:themeColor="accent1" w:themeShade="BF"/>
              </w:rPr>
            </w:pPr>
            <w:r w:rsidRPr="009F2ECD">
              <w:rPr>
                <w:color w:val="365F91" w:themeColor="accent1" w:themeShade="BF"/>
              </w:rPr>
              <w:t>N</w:t>
            </w:r>
          </w:p>
        </w:tc>
        <w:tc>
          <w:tcPr>
            <w:tcW w:w="1840" w:type="dxa"/>
          </w:tcPr>
          <w:p w:rsidR="00D90D12" w:rsidRPr="009F2ECD" w:rsidRDefault="00D90D12">
            <w:pPr>
              <w:rPr>
                <w:color w:val="365F91" w:themeColor="accent1" w:themeShade="BF"/>
              </w:rPr>
            </w:pPr>
          </w:p>
        </w:tc>
      </w:tr>
      <w:tr w:rsidR="00D90D12" w:rsidTr="00F14270">
        <w:tc>
          <w:tcPr>
            <w:tcW w:w="1706" w:type="dxa"/>
          </w:tcPr>
          <w:p w:rsidR="00D90D12" w:rsidRDefault="00D90D12">
            <w:r>
              <w:t>I</w:t>
            </w:r>
          </w:p>
        </w:tc>
        <w:tc>
          <w:tcPr>
            <w:tcW w:w="1730" w:type="dxa"/>
          </w:tcPr>
          <w:p w:rsidR="00D90D12" w:rsidRPr="009F2ECD" w:rsidRDefault="00D90D12">
            <w:pPr>
              <w:rPr>
                <w:color w:val="365F91" w:themeColor="accent1" w:themeShade="BF"/>
              </w:rPr>
            </w:pPr>
            <w:r w:rsidRPr="009F2ECD">
              <w:rPr>
                <w:color w:val="365F91" w:themeColor="accent1" w:themeShade="BF"/>
              </w:rPr>
              <w:t>U3</w:t>
            </w:r>
          </w:p>
        </w:tc>
        <w:tc>
          <w:tcPr>
            <w:tcW w:w="2045" w:type="dxa"/>
          </w:tcPr>
          <w:p w:rsidR="00D90D12" w:rsidRPr="009F2ECD" w:rsidRDefault="00D90D12" w:rsidP="00F14270">
            <w:pPr>
              <w:rPr>
                <w:color w:val="365F91" w:themeColor="accent1" w:themeShade="BF"/>
              </w:rPr>
            </w:pPr>
          </w:p>
        </w:tc>
        <w:tc>
          <w:tcPr>
            <w:tcW w:w="2045" w:type="dxa"/>
          </w:tcPr>
          <w:p w:rsidR="00D90D12" w:rsidRPr="009F2ECD" w:rsidRDefault="00D90D12">
            <w:pPr>
              <w:rPr>
                <w:color w:val="365F91" w:themeColor="accent1" w:themeShade="BF"/>
              </w:rPr>
            </w:pPr>
            <w:r w:rsidRPr="009F2ECD">
              <w:rPr>
                <w:color w:val="365F91" w:themeColor="accent1" w:themeShade="BF"/>
              </w:rPr>
              <w:t>N</w:t>
            </w:r>
          </w:p>
        </w:tc>
        <w:tc>
          <w:tcPr>
            <w:tcW w:w="1840" w:type="dxa"/>
          </w:tcPr>
          <w:p w:rsidR="00D90D12" w:rsidRPr="009F2ECD" w:rsidRDefault="00D90D12">
            <w:pPr>
              <w:rPr>
                <w:color w:val="365F91" w:themeColor="accent1" w:themeShade="BF"/>
              </w:rPr>
            </w:pPr>
          </w:p>
        </w:tc>
      </w:tr>
      <w:tr w:rsidR="00D90D12" w:rsidTr="00F14270">
        <w:tc>
          <w:tcPr>
            <w:tcW w:w="1706" w:type="dxa"/>
          </w:tcPr>
          <w:p w:rsidR="00D90D12" w:rsidRDefault="00D90D12" w:rsidP="001B5395">
            <w:r>
              <w:t>J</w:t>
            </w:r>
          </w:p>
        </w:tc>
        <w:tc>
          <w:tcPr>
            <w:tcW w:w="1730" w:type="dxa"/>
          </w:tcPr>
          <w:p w:rsidR="00D90D12" w:rsidRPr="009F2ECD" w:rsidRDefault="00D90D12">
            <w:pPr>
              <w:rPr>
                <w:color w:val="365F91" w:themeColor="accent1" w:themeShade="BF"/>
              </w:rPr>
            </w:pPr>
            <w:r w:rsidRPr="009F2ECD">
              <w:rPr>
                <w:color w:val="365F91" w:themeColor="accent1" w:themeShade="BF"/>
              </w:rPr>
              <w:t>L13</w:t>
            </w:r>
          </w:p>
        </w:tc>
        <w:tc>
          <w:tcPr>
            <w:tcW w:w="2045" w:type="dxa"/>
          </w:tcPr>
          <w:p w:rsidR="00D90D12" w:rsidRPr="009F2ECD" w:rsidRDefault="00D90D12" w:rsidP="00F14270">
            <w:pPr>
              <w:rPr>
                <w:color w:val="365F91" w:themeColor="accent1" w:themeShade="BF"/>
              </w:rPr>
            </w:pPr>
          </w:p>
        </w:tc>
        <w:tc>
          <w:tcPr>
            <w:tcW w:w="2045" w:type="dxa"/>
          </w:tcPr>
          <w:p w:rsidR="00D90D12" w:rsidRPr="009F2ECD" w:rsidRDefault="00D90D12">
            <w:pPr>
              <w:rPr>
                <w:color w:val="365F91" w:themeColor="accent1" w:themeShade="BF"/>
              </w:rPr>
            </w:pPr>
            <w:r w:rsidRPr="009F2ECD">
              <w:rPr>
                <w:color w:val="365F91" w:themeColor="accent1" w:themeShade="BF"/>
              </w:rPr>
              <w:t>Y</w:t>
            </w:r>
          </w:p>
        </w:tc>
        <w:tc>
          <w:tcPr>
            <w:tcW w:w="1840" w:type="dxa"/>
          </w:tcPr>
          <w:p w:rsidR="00D90D12" w:rsidRPr="009F2ECD" w:rsidRDefault="00D90D12">
            <w:pPr>
              <w:rPr>
                <w:color w:val="365F91" w:themeColor="accent1" w:themeShade="BF"/>
              </w:rPr>
            </w:pPr>
          </w:p>
        </w:tc>
      </w:tr>
      <w:tr w:rsidR="00D90D12" w:rsidTr="00F14270">
        <w:tc>
          <w:tcPr>
            <w:tcW w:w="1706" w:type="dxa"/>
          </w:tcPr>
          <w:p w:rsidR="00D90D12" w:rsidRDefault="00D90D12">
            <w:r>
              <w:lastRenderedPageBreak/>
              <w:t>K</w:t>
            </w:r>
          </w:p>
        </w:tc>
        <w:tc>
          <w:tcPr>
            <w:tcW w:w="1730" w:type="dxa"/>
          </w:tcPr>
          <w:p w:rsidR="00D90D12" w:rsidRPr="009F2ECD" w:rsidRDefault="00D90D12">
            <w:pPr>
              <w:rPr>
                <w:color w:val="365F91" w:themeColor="accent1" w:themeShade="BF"/>
              </w:rPr>
            </w:pPr>
            <w:r w:rsidRPr="009F2ECD">
              <w:rPr>
                <w:color w:val="365F91" w:themeColor="accent1" w:themeShade="BF"/>
              </w:rPr>
              <w:t>L17</w:t>
            </w:r>
          </w:p>
        </w:tc>
        <w:tc>
          <w:tcPr>
            <w:tcW w:w="2045" w:type="dxa"/>
          </w:tcPr>
          <w:p w:rsidR="00D90D12" w:rsidRPr="009F2ECD" w:rsidRDefault="00D90D12" w:rsidP="00F14270">
            <w:pPr>
              <w:rPr>
                <w:color w:val="365F91" w:themeColor="accent1" w:themeShade="BF"/>
              </w:rPr>
            </w:pPr>
          </w:p>
        </w:tc>
        <w:tc>
          <w:tcPr>
            <w:tcW w:w="2045" w:type="dxa"/>
          </w:tcPr>
          <w:p w:rsidR="00D90D12" w:rsidRPr="009F2ECD" w:rsidRDefault="00D90D12">
            <w:pPr>
              <w:rPr>
                <w:color w:val="365F91" w:themeColor="accent1" w:themeShade="BF"/>
              </w:rPr>
            </w:pPr>
            <w:r w:rsidRPr="009F2ECD">
              <w:rPr>
                <w:color w:val="365F91" w:themeColor="accent1" w:themeShade="BF"/>
              </w:rPr>
              <w:t>N</w:t>
            </w:r>
          </w:p>
        </w:tc>
        <w:tc>
          <w:tcPr>
            <w:tcW w:w="1840" w:type="dxa"/>
          </w:tcPr>
          <w:p w:rsidR="00D90D12" w:rsidRPr="009F2ECD" w:rsidRDefault="00D90D12">
            <w:pPr>
              <w:rPr>
                <w:color w:val="365F91" w:themeColor="accent1" w:themeShade="BF"/>
              </w:rPr>
            </w:pPr>
          </w:p>
        </w:tc>
      </w:tr>
      <w:tr w:rsidR="00D90D12" w:rsidTr="00F14270">
        <w:tc>
          <w:tcPr>
            <w:tcW w:w="1706" w:type="dxa"/>
          </w:tcPr>
          <w:p w:rsidR="00D90D12" w:rsidRDefault="00D90D12" w:rsidP="001B5395">
            <w:r>
              <w:t>L</w:t>
            </w:r>
          </w:p>
        </w:tc>
        <w:tc>
          <w:tcPr>
            <w:tcW w:w="1730" w:type="dxa"/>
          </w:tcPr>
          <w:p w:rsidR="00D90D12" w:rsidRPr="009F2ECD" w:rsidRDefault="00D90D12">
            <w:pPr>
              <w:rPr>
                <w:color w:val="365F91" w:themeColor="accent1" w:themeShade="BF"/>
              </w:rPr>
            </w:pPr>
            <w:r w:rsidRPr="009F2ECD">
              <w:rPr>
                <w:color w:val="365F91" w:themeColor="accent1" w:themeShade="BF"/>
              </w:rPr>
              <w:t>L25</w:t>
            </w:r>
          </w:p>
        </w:tc>
        <w:tc>
          <w:tcPr>
            <w:tcW w:w="2045" w:type="dxa"/>
          </w:tcPr>
          <w:p w:rsidR="00D90D12" w:rsidRPr="009F2ECD" w:rsidRDefault="00D90D12" w:rsidP="00F14270">
            <w:pPr>
              <w:rPr>
                <w:color w:val="365F91" w:themeColor="accent1" w:themeShade="BF"/>
              </w:rPr>
            </w:pPr>
          </w:p>
        </w:tc>
        <w:tc>
          <w:tcPr>
            <w:tcW w:w="2045" w:type="dxa"/>
          </w:tcPr>
          <w:p w:rsidR="00D90D12" w:rsidRPr="009F2ECD" w:rsidRDefault="00D90D12">
            <w:pPr>
              <w:rPr>
                <w:color w:val="365F91" w:themeColor="accent1" w:themeShade="BF"/>
              </w:rPr>
            </w:pPr>
            <w:r w:rsidRPr="009F2ECD">
              <w:rPr>
                <w:color w:val="365F91" w:themeColor="accent1" w:themeShade="BF"/>
              </w:rPr>
              <w:t>Y</w:t>
            </w:r>
          </w:p>
        </w:tc>
        <w:tc>
          <w:tcPr>
            <w:tcW w:w="1840" w:type="dxa"/>
          </w:tcPr>
          <w:p w:rsidR="00D90D12" w:rsidRPr="009F2ECD" w:rsidRDefault="00D90D12">
            <w:pPr>
              <w:rPr>
                <w:color w:val="365F91" w:themeColor="accent1" w:themeShade="BF"/>
              </w:rPr>
            </w:pPr>
          </w:p>
        </w:tc>
      </w:tr>
    </w:tbl>
    <w:p w:rsidR="00804B2E" w:rsidRDefault="00804B2E"/>
    <w:p w:rsidR="00804B2E" w:rsidRDefault="00210424">
      <w:r>
        <w:t>Of the [</w:t>
      </w:r>
      <w:r w:rsidRPr="009F2ECD">
        <w:rPr>
          <w:color w:val="365F91" w:themeColor="accent1" w:themeShade="BF"/>
        </w:rPr>
        <w:t>number</w:t>
      </w:r>
      <w:r>
        <w:t xml:space="preserve">] teachers currently in post at the school, </w:t>
      </w:r>
      <w:r w:rsidR="001B5395">
        <w:t>[</w:t>
      </w:r>
      <w:r w:rsidR="001B5395" w:rsidRPr="009F2ECD">
        <w:rPr>
          <w:color w:val="365F91" w:themeColor="accent1" w:themeShade="BF"/>
        </w:rPr>
        <w:t>number</w:t>
      </w:r>
      <w:r w:rsidR="001B5395">
        <w:t>]</w:t>
      </w:r>
      <w:r>
        <w:t xml:space="preserve"> are eligible for pay progression within their pay range</w:t>
      </w:r>
      <w:r w:rsidR="001B5395">
        <w:t xml:space="preserve"> and [</w:t>
      </w:r>
      <w:r w:rsidR="001B5395" w:rsidRPr="009F2ECD">
        <w:rPr>
          <w:color w:val="365F91" w:themeColor="accent1" w:themeShade="BF"/>
        </w:rPr>
        <w:t>number</w:t>
      </w:r>
      <w:r w:rsidR="001B5395">
        <w:t>] are not eligible for pay progression as they have reached the maximum of their pay range. [</w:t>
      </w:r>
      <w:r w:rsidR="001B5395" w:rsidRPr="009F2ECD">
        <w:rPr>
          <w:color w:val="365F91" w:themeColor="accent1" w:themeShade="BF"/>
        </w:rPr>
        <w:t>Number</w:t>
      </w:r>
      <w:r w:rsidR="001B5395">
        <w:t>]</w:t>
      </w:r>
      <w:r>
        <w:t xml:space="preserve"> have applied to progress to the upper pay range.</w:t>
      </w:r>
    </w:p>
    <w:p w:rsidR="003D79A7" w:rsidRDefault="003D79A7">
      <w:r>
        <w:t xml:space="preserve">The current salary budget for teachers in the school is </w:t>
      </w:r>
      <w:proofErr w:type="gramStart"/>
      <w:r>
        <w:t>£[</w:t>
      </w:r>
      <w:proofErr w:type="gramEnd"/>
      <w:r w:rsidRPr="009F2ECD">
        <w:rPr>
          <w:color w:val="365F91" w:themeColor="accent1" w:themeShade="BF"/>
        </w:rPr>
        <w:t>amount</w:t>
      </w:r>
      <w:r>
        <w:t xml:space="preserve">].  </w:t>
      </w:r>
    </w:p>
    <w:p w:rsidR="003D79A7" w:rsidRDefault="00D7762B">
      <w:pPr>
        <w:rPr>
          <w:b/>
        </w:rPr>
      </w:pPr>
      <w:r>
        <w:rPr>
          <w:b/>
        </w:rPr>
        <w:t>Performance i</w:t>
      </w:r>
      <w:r w:rsidR="003D79A7">
        <w:rPr>
          <w:b/>
        </w:rPr>
        <w:t>nformation</w:t>
      </w:r>
      <w:r w:rsidR="00142E4F">
        <w:rPr>
          <w:b/>
        </w:rPr>
        <w:t xml:space="preserve"> [</w:t>
      </w:r>
      <w:r w:rsidR="00142E4F" w:rsidRPr="00142E4F">
        <w:rPr>
          <w:b/>
          <w:color w:val="4F81BD" w:themeColor="accent1"/>
        </w:rPr>
        <w:t>20YY/YY</w:t>
      </w:r>
      <w:r w:rsidR="00FF4C63">
        <w:rPr>
          <w:b/>
        </w:rPr>
        <w:t>]</w:t>
      </w:r>
    </w:p>
    <w:p w:rsidR="003D79A7" w:rsidRDefault="003D79A7">
      <w:r>
        <w:t xml:space="preserve">The following data </w:t>
      </w:r>
      <w:r w:rsidR="003579AD">
        <w:t xml:space="preserve">table </w:t>
      </w:r>
      <w:r>
        <w:t>shows for each teacher the assessment of their performance in relation to</w:t>
      </w:r>
      <w:r w:rsidR="009A0EB8">
        <w:t>: pupil progress data, lesson observations</w:t>
      </w:r>
      <w:r w:rsidR="00401321">
        <w:t xml:space="preserve">, </w:t>
      </w:r>
      <w:r w:rsidR="00D1366E">
        <w:t>planning and work</w:t>
      </w:r>
      <w:r w:rsidR="009A0EB8">
        <w:t xml:space="preserve"> scrutiny</w:t>
      </w:r>
      <w:r w:rsidR="00F14270">
        <w:t xml:space="preserve"> and</w:t>
      </w:r>
      <w:r w:rsidR="009A0EB8">
        <w:t xml:space="preserve"> </w:t>
      </w:r>
      <w:r w:rsidR="0027179C">
        <w:t xml:space="preserve">whether </w:t>
      </w:r>
      <w:r w:rsidR="00F14270">
        <w:t xml:space="preserve">individual </w:t>
      </w:r>
      <w:r w:rsidR="0027179C">
        <w:t>performance objectives have been met.  Fr</w:t>
      </w:r>
      <w:r w:rsidR="009A0EB8">
        <w:t>om these an overall judgement of their performance</w:t>
      </w:r>
      <w:r w:rsidR="0027179C">
        <w:t xml:space="preserve"> has been made</w:t>
      </w:r>
      <w:r w:rsidR="009A0EB8">
        <w:t>.</w:t>
      </w:r>
    </w:p>
    <w:p w:rsidR="009A0EB8" w:rsidRDefault="00401321">
      <w:r>
        <w:t xml:space="preserve">The grade for lesson observations is the average grade based on all observations undertaken by the school for the purposes of assessing performance during the year.  </w:t>
      </w:r>
    </w:p>
    <w:p w:rsidR="009A0EB8" w:rsidRDefault="009A0EB8">
      <w:r>
        <w:t xml:space="preserve">Book scrutiny </w:t>
      </w:r>
      <w:r w:rsidR="005F2020">
        <w:t>includes</w:t>
      </w:r>
      <w:r>
        <w:t xml:space="preserve"> the quality of marking, feedback and the learning environment.</w:t>
      </w:r>
    </w:p>
    <w:p w:rsidR="009A0EB8" w:rsidRDefault="009A0EB8">
      <w:r>
        <w:t xml:space="preserve">Performance is rated in </w:t>
      </w:r>
      <w:r w:rsidR="002E0378">
        <w:t xml:space="preserve">each column in </w:t>
      </w:r>
      <w:r>
        <w:t xml:space="preserve">accordance with the current Ofsted categories of 1) outstanding, 2) good, 3) requires improvement and 4) </w:t>
      </w:r>
      <w:r w:rsidR="00C178EB">
        <w:t>inadequate.</w:t>
      </w:r>
    </w:p>
    <w:tbl>
      <w:tblPr>
        <w:tblStyle w:val="TableGrid"/>
        <w:tblW w:w="0" w:type="auto"/>
        <w:tblLayout w:type="fixed"/>
        <w:tblLook w:val="04A0" w:firstRow="1" w:lastRow="0" w:firstColumn="1" w:lastColumn="0" w:noHBand="0" w:noVBand="1"/>
      </w:tblPr>
      <w:tblGrid>
        <w:gridCol w:w="1219"/>
        <w:gridCol w:w="1337"/>
        <w:gridCol w:w="1337"/>
        <w:gridCol w:w="1337"/>
        <w:gridCol w:w="1337"/>
        <w:gridCol w:w="1337"/>
        <w:gridCol w:w="1338"/>
      </w:tblGrid>
      <w:tr w:rsidR="001F1E44" w:rsidRPr="001F1E44" w:rsidTr="001F1E44">
        <w:tc>
          <w:tcPr>
            <w:tcW w:w="1219" w:type="dxa"/>
            <w:tcBorders>
              <w:top w:val="nil"/>
              <w:left w:val="nil"/>
            </w:tcBorders>
          </w:tcPr>
          <w:p w:rsidR="001F1E44" w:rsidRPr="001F1E44" w:rsidRDefault="001F1E44">
            <w:pPr>
              <w:rPr>
                <w:b/>
                <w:sz w:val="16"/>
                <w:szCs w:val="16"/>
              </w:rPr>
            </w:pPr>
          </w:p>
        </w:tc>
        <w:tc>
          <w:tcPr>
            <w:tcW w:w="1337" w:type="dxa"/>
          </w:tcPr>
          <w:p w:rsidR="001F1E44" w:rsidRPr="001F1E44" w:rsidRDefault="001F1E44">
            <w:pPr>
              <w:rPr>
                <w:b/>
                <w:sz w:val="16"/>
                <w:szCs w:val="16"/>
              </w:rPr>
            </w:pPr>
            <w:r w:rsidRPr="001F1E44">
              <w:rPr>
                <w:b/>
                <w:sz w:val="16"/>
                <w:szCs w:val="16"/>
              </w:rPr>
              <w:t>Pupil Progress</w:t>
            </w:r>
          </w:p>
        </w:tc>
        <w:tc>
          <w:tcPr>
            <w:tcW w:w="1337" w:type="dxa"/>
          </w:tcPr>
          <w:p w:rsidR="001F1E44" w:rsidRPr="001F1E44" w:rsidRDefault="001F1E44">
            <w:pPr>
              <w:rPr>
                <w:b/>
                <w:sz w:val="16"/>
                <w:szCs w:val="16"/>
              </w:rPr>
            </w:pPr>
            <w:r w:rsidRPr="001F1E44">
              <w:rPr>
                <w:b/>
                <w:sz w:val="16"/>
                <w:szCs w:val="16"/>
              </w:rPr>
              <w:t>Lesson Observations</w:t>
            </w:r>
          </w:p>
        </w:tc>
        <w:tc>
          <w:tcPr>
            <w:tcW w:w="1337" w:type="dxa"/>
          </w:tcPr>
          <w:p w:rsidR="001F1E44" w:rsidRPr="001F1E44" w:rsidRDefault="00D1366E" w:rsidP="00401321">
            <w:pPr>
              <w:rPr>
                <w:b/>
                <w:sz w:val="16"/>
                <w:szCs w:val="16"/>
              </w:rPr>
            </w:pPr>
            <w:r>
              <w:rPr>
                <w:b/>
                <w:sz w:val="16"/>
                <w:szCs w:val="16"/>
              </w:rPr>
              <w:t>Planning and Work</w:t>
            </w:r>
            <w:r w:rsidR="001F1E44" w:rsidRPr="001F1E44">
              <w:rPr>
                <w:b/>
                <w:sz w:val="16"/>
                <w:szCs w:val="16"/>
              </w:rPr>
              <w:t xml:space="preserve"> Scrutiny</w:t>
            </w:r>
          </w:p>
        </w:tc>
        <w:tc>
          <w:tcPr>
            <w:tcW w:w="1337" w:type="dxa"/>
          </w:tcPr>
          <w:p w:rsidR="001F1E44" w:rsidRPr="001F1E44" w:rsidRDefault="001F1E44">
            <w:pPr>
              <w:rPr>
                <w:b/>
                <w:sz w:val="16"/>
                <w:szCs w:val="16"/>
              </w:rPr>
            </w:pPr>
            <w:r w:rsidRPr="001F1E44">
              <w:rPr>
                <w:b/>
                <w:sz w:val="16"/>
                <w:szCs w:val="16"/>
              </w:rPr>
              <w:t>Performance Objectives</w:t>
            </w:r>
          </w:p>
        </w:tc>
        <w:tc>
          <w:tcPr>
            <w:tcW w:w="1337" w:type="dxa"/>
          </w:tcPr>
          <w:p w:rsidR="001F1E44" w:rsidRPr="001F1E44" w:rsidRDefault="001F1E44" w:rsidP="001F1E44">
            <w:pPr>
              <w:rPr>
                <w:b/>
                <w:sz w:val="16"/>
                <w:szCs w:val="16"/>
              </w:rPr>
            </w:pPr>
            <w:r>
              <w:rPr>
                <w:b/>
                <w:sz w:val="16"/>
                <w:szCs w:val="16"/>
              </w:rPr>
              <w:t>Any other evidence identified for appraisal</w:t>
            </w:r>
          </w:p>
        </w:tc>
        <w:tc>
          <w:tcPr>
            <w:tcW w:w="1338" w:type="dxa"/>
          </w:tcPr>
          <w:p w:rsidR="001F1E44" w:rsidRPr="001F1E44" w:rsidRDefault="001F1E44">
            <w:pPr>
              <w:rPr>
                <w:b/>
                <w:sz w:val="16"/>
                <w:szCs w:val="16"/>
              </w:rPr>
            </w:pPr>
            <w:r w:rsidRPr="001F1E44">
              <w:rPr>
                <w:b/>
                <w:sz w:val="16"/>
                <w:szCs w:val="16"/>
              </w:rPr>
              <w:t>Overall Judgement of Performance</w:t>
            </w:r>
          </w:p>
        </w:tc>
      </w:tr>
      <w:tr w:rsidR="001F1E44" w:rsidRPr="001F1E44" w:rsidTr="001F1E44">
        <w:tc>
          <w:tcPr>
            <w:tcW w:w="1219" w:type="dxa"/>
          </w:tcPr>
          <w:p w:rsidR="001F1E44" w:rsidRPr="001F1E44" w:rsidRDefault="001F1E44">
            <w:pPr>
              <w:rPr>
                <w:b/>
                <w:i/>
                <w:sz w:val="16"/>
                <w:szCs w:val="16"/>
              </w:rPr>
            </w:pPr>
            <w:r w:rsidRPr="001F1E44">
              <w:rPr>
                <w:b/>
                <w:i/>
                <w:sz w:val="16"/>
                <w:szCs w:val="16"/>
              </w:rPr>
              <w:t>Teacher Standards</w:t>
            </w:r>
          </w:p>
        </w:tc>
        <w:tc>
          <w:tcPr>
            <w:tcW w:w="1337" w:type="dxa"/>
          </w:tcPr>
          <w:p w:rsidR="001F1E44" w:rsidRPr="001F1E44" w:rsidRDefault="001F1E44" w:rsidP="00350E5F">
            <w:pPr>
              <w:rPr>
                <w:b/>
                <w:i/>
                <w:sz w:val="16"/>
                <w:szCs w:val="16"/>
              </w:rPr>
            </w:pPr>
            <w:r w:rsidRPr="001F1E44">
              <w:rPr>
                <w:b/>
                <w:i/>
                <w:sz w:val="16"/>
                <w:szCs w:val="16"/>
              </w:rPr>
              <w:t>Part 1: 2.1, 2.2, 2.3, 2.4</w:t>
            </w:r>
          </w:p>
        </w:tc>
        <w:tc>
          <w:tcPr>
            <w:tcW w:w="1337" w:type="dxa"/>
          </w:tcPr>
          <w:p w:rsidR="001F1E44" w:rsidRPr="001F1E44" w:rsidRDefault="001F1E44">
            <w:pPr>
              <w:rPr>
                <w:b/>
                <w:i/>
                <w:sz w:val="16"/>
                <w:szCs w:val="16"/>
              </w:rPr>
            </w:pPr>
            <w:r w:rsidRPr="001F1E44">
              <w:rPr>
                <w:b/>
                <w:i/>
                <w:sz w:val="16"/>
                <w:szCs w:val="16"/>
              </w:rPr>
              <w:t>All</w:t>
            </w:r>
          </w:p>
        </w:tc>
        <w:tc>
          <w:tcPr>
            <w:tcW w:w="1337" w:type="dxa"/>
          </w:tcPr>
          <w:p w:rsidR="001F1E44" w:rsidRPr="001F1E44" w:rsidRDefault="001F1E44" w:rsidP="00350E5F">
            <w:pPr>
              <w:rPr>
                <w:b/>
                <w:i/>
                <w:sz w:val="16"/>
                <w:szCs w:val="16"/>
              </w:rPr>
            </w:pPr>
            <w:r w:rsidRPr="001F1E44">
              <w:rPr>
                <w:b/>
                <w:i/>
                <w:sz w:val="16"/>
                <w:szCs w:val="16"/>
              </w:rPr>
              <w:t>Part 1: 6.1, 6.2, 6.3</w:t>
            </w:r>
          </w:p>
        </w:tc>
        <w:tc>
          <w:tcPr>
            <w:tcW w:w="1337" w:type="dxa"/>
          </w:tcPr>
          <w:p w:rsidR="001F1E44" w:rsidRPr="001F1E44" w:rsidRDefault="001F1E44">
            <w:pPr>
              <w:rPr>
                <w:b/>
                <w:i/>
                <w:sz w:val="16"/>
                <w:szCs w:val="16"/>
              </w:rPr>
            </w:pPr>
            <w:r w:rsidRPr="001F1E44">
              <w:rPr>
                <w:b/>
                <w:i/>
                <w:sz w:val="16"/>
                <w:szCs w:val="16"/>
              </w:rPr>
              <w:t>Preamble, 1.8, Part 2 and others as appropriate</w:t>
            </w:r>
          </w:p>
        </w:tc>
        <w:tc>
          <w:tcPr>
            <w:tcW w:w="1337" w:type="dxa"/>
            <w:shd w:val="clear" w:color="auto" w:fill="D9D9D9" w:themeFill="background1" w:themeFillShade="D9"/>
          </w:tcPr>
          <w:p w:rsidR="001F1E44" w:rsidRPr="001F1E44" w:rsidRDefault="001F1E44">
            <w:pPr>
              <w:rPr>
                <w:b/>
                <w:i/>
                <w:sz w:val="16"/>
                <w:szCs w:val="16"/>
              </w:rPr>
            </w:pPr>
          </w:p>
        </w:tc>
        <w:tc>
          <w:tcPr>
            <w:tcW w:w="1338" w:type="dxa"/>
            <w:shd w:val="clear" w:color="auto" w:fill="D9D9D9" w:themeFill="background1" w:themeFillShade="D9"/>
          </w:tcPr>
          <w:p w:rsidR="001F1E44" w:rsidRPr="001F1E44" w:rsidRDefault="001F1E44">
            <w:pPr>
              <w:rPr>
                <w:b/>
                <w:i/>
                <w:sz w:val="16"/>
                <w:szCs w:val="16"/>
              </w:rPr>
            </w:pPr>
          </w:p>
        </w:tc>
      </w:tr>
      <w:tr w:rsidR="001F1E44" w:rsidTr="001F1E44">
        <w:tc>
          <w:tcPr>
            <w:tcW w:w="1219" w:type="dxa"/>
          </w:tcPr>
          <w:p w:rsidR="001F1E44" w:rsidRDefault="001F1E44">
            <w:r>
              <w:t>Teacher A</w:t>
            </w:r>
          </w:p>
        </w:tc>
        <w:tc>
          <w:tcPr>
            <w:tcW w:w="1337" w:type="dxa"/>
          </w:tcPr>
          <w:p w:rsidR="001F1E44" w:rsidRDefault="001F1E44"/>
        </w:tc>
        <w:tc>
          <w:tcPr>
            <w:tcW w:w="1337" w:type="dxa"/>
          </w:tcPr>
          <w:p w:rsidR="001F1E44" w:rsidRDefault="001F1E44"/>
        </w:tc>
        <w:tc>
          <w:tcPr>
            <w:tcW w:w="1337" w:type="dxa"/>
          </w:tcPr>
          <w:p w:rsidR="001F1E44" w:rsidRDefault="001F1E44"/>
        </w:tc>
        <w:tc>
          <w:tcPr>
            <w:tcW w:w="1337" w:type="dxa"/>
          </w:tcPr>
          <w:p w:rsidR="001F1E44" w:rsidRDefault="001F1E44"/>
        </w:tc>
        <w:tc>
          <w:tcPr>
            <w:tcW w:w="1337" w:type="dxa"/>
          </w:tcPr>
          <w:p w:rsidR="001F1E44" w:rsidRDefault="001F1E44"/>
        </w:tc>
        <w:tc>
          <w:tcPr>
            <w:tcW w:w="1338" w:type="dxa"/>
          </w:tcPr>
          <w:p w:rsidR="001F1E44" w:rsidRDefault="001F1E44"/>
        </w:tc>
      </w:tr>
      <w:tr w:rsidR="001F1E44" w:rsidTr="001F1E44">
        <w:tc>
          <w:tcPr>
            <w:tcW w:w="1219" w:type="dxa"/>
          </w:tcPr>
          <w:p w:rsidR="001F1E44" w:rsidRDefault="001F1E44">
            <w:r>
              <w:t>B</w:t>
            </w:r>
          </w:p>
        </w:tc>
        <w:tc>
          <w:tcPr>
            <w:tcW w:w="1337" w:type="dxa"/>
          </w:tcPr>
          <w:p w:rsidR="001F1E44" w:rsidRDefault="001F1E44"/>
        </w:tc>
        <w:tc>
          <w:tcPr>
            <w:tcW w:w="1337" w:type="dxa"/>
          </w:tcPr>
          <w:p w:rsidR="001F1E44" w:rsidRDefault="001F1E44"/>
        </w:tc>
        <w:tc>
          <w:tcPr>
            <w:tcW w:w="1337" w:type="dxa"/>
          </w:tcPr>
          <w:p w:rsidR="001F1E44" w:rsidRDefault="001F1E44"/>
        </w:tc>
        <w:tc>
          <w:tcPr>
            <w:tcW w:w="1337" w:type="dxa"/>
          </w:tcPr>
          <w:p w:rsidR="001F1E44" w:rsidRDefault="001F1E44"/>
        </w:tc>
        <w:tc>
          <w:tcPr>
            <w:tcW w:w="1337" w:type="dxa"/>
          </w:tcPr>
          <w:p w:rsidR="001F1E44" w:rsidRDefault="001F1E44"/>
        </w:tc>
        <w:tc>
          <w:tcPr>
            <w:tcW w:w="1338" w:type="dxa"/>
          </w:tcPr>
          <w:p w:rsidR="001F1E44" w:rsidRDefault="001F1E44"/>
        </w:tc>
      </w:tr>
      <w:tr w:rsidR="001F1E44" w:rsidTr="001F1E44">
        <w:tc>
          <w:tcPr>
            <w:tcW w:w="1219" w:type="dxa"/>
          </w:tcPr>
          <w:p w:rsidR="001F1E44" w:rsidRDefault="001F1E44">
            <w:r>
              <w:t>C</w:t>
            </w:r>
          </w:p>
        </w:tc>
        <w:tc>
          <w:tcPr>
            <w:tcW w:w="1337" w:type="dxa"/>
          </w:tcPr>
          <w:p w:rsidR="001F1E44" w:rsidRDefault="001F1E44"/>
        </w:tc>
        <w:tc>
          <w:tcPr>
            <w:tcW w:w="1337" w:type="dxa"/>
          </w:tcPr>
          <w:p w:rsidR="001F1E44" w:rsidRDefault="001F1E44"/>
        </w:tc>
        <w:tc>
          <w:tcPr>
            <w:tcW w:w="1337" w:type="dxa"/>
          </w:tcPr>
          <w:p w:rsidR="001F1E44" w:rsidRDefault="001F1E44"/>
        </w:tc>
        <w:tc>
          <w:tcPr>
            <w:tcW w:w="1337" w:type="dxa"/>
          </w:tcPr>
          <w:p w:rsidR="001F1E44" w:rsidRDefault="001F1E44"/>
        </w:tc>
        <w:tc>
          <w:tcPr>
            <w:tcW w:w="1337" w:type="dxa"/>
          </w:tcPr>
          <w:p w:rsidR="001F1E44" w:rsidRDefault="001F1E44"/>
        </w:tc>
        <w:tc>
          <w:tcPr>
            <w:tcW w:w="1338" w:type="dxa"/>
          </w:tcPr>
          <w:p w:rsidR="001F1E44" w:rsidRDefault="001F1E44"/>
        </w:tc>
      </w:tr>
      <w:tr w:rsidR="001F1E44" w:rsidTr="001F1E44">
        <w:tc>
          <w:tcPr>
            <w:tcW w:w="1219" w:type="dxa"/>
          </w:tcPr>
          <w:p w:rsidR="001F1E44" w:rsidRDefault="001F1E44">
            <w:r>
              <w:t>D etc</w:t>
            </w:r>
          </w:p>
        </w:tc>
        <w:tc>
          <w:tcPr>
            <w:tcW w:w="1337" w:type="dxa"/>
          </w:tcPr>
          <w:p w:rsidR="001F1E44" w:rsidRDefault="001F1E44"/>
        </w:tc>
        <w:tc>
          <w:tcPr>
            <w:tcW w:w="1337" w:type="dxa"/>
          </w:tcPr>
          <w:p w:rsidR="001F1E44" w:rsidRDefault="001F1E44"/>
        </w:tc>
        <w:tc>
          <w:tcPr>
            <w:tcW w:w="1337" w:type="dxa"/>
          </w:tcPr>
          <w:p w:rsidR="001F1E44" w:rsidRDefault="001F1E44"/>
        </w:tc>
        <w:tc>
          <w:tcPr>
            <w:tcW w:w="1337" w:type="dxa"/>
          </w:tcPr>
          <w:p w:rsidR="001F1E44" w:rsidRDefault="001F1E44"/>
        </w:tc>
        <w:tc>
          <w:tcPr>
            <w:tcW w:w="1337" w:type="dxa"/>
          </w:tcPr>
          <w:p w:rsidR="001F1E44" w:rsidRDefault="001F1E44"/>
        </w:tc>
        <w:tc>
          <w:tcPr>
            <w:tcW w:w="1338" w:type="dxa"/>
          </w:tcPr>
          <w:p w:rsidR="001F1E44" w:rsidRDefault="001F1E44"/>
        </w:tc>
      </w:tr>
    </w:tbl>
    <w:p w:rsidR="00401321" w:rsidRDefault="00401321"/>
    <w:p w:rsidR="00C178EB" w:rsidRDefault="00C178EB">
      <w:r>
        <w:t>The data shows that [</w:t>
      </w:r>
      <w:r w:rsidRPr="009F2ECD">
        <w:rPr>
          <w:color w:val="365F91" w:themeColor="accent1" w:themeShade="BF"/>
        </w:rPr>
        <w:t xml:space="preserve">school to summarise any patterns emerging by year group, school priority, </w:t>
      </w:r>
      <w:proofErr w:type="gramStart"/>
      <w:r w:rsidRPr="009F2ECD">
        <w:rPr>
          <w:color w:val="365F91" w:themeColor="accent1" w:themeShade="BF"/>
        </w:rPr>
        <w:t>subject</w:t>
      </w:r>
      <w:proofErr w:type="gramEnd"/>
      <w:r w:rsidR="00D1366E">
        <w:rPr>
          <w:color w:val="365F91" w:themeColor="accent1" w:themeShade="BF"/>
        </w:rPr>
        <w:t>; explain the impact on pupil progress across the school (any actions arising should be picked up at the end of the report)</w:t>
      </w:r>
      <w:r>
        <w:t>].</w:t>
      </w:r>
    </w:p>
    <w:p w:rsidR="00142E4F" w:rsidRDefault="00142E4F">
      <w:pPr>
        <w:rPr>
          <w:b/>
        </w:rPr>
      </w:pPr>
      <w:r>
        <w:rPr>
          <w:b/>
        </w:rPr>
        <w:t>Professional development summary</w:t>
      </w:r>
    </w:p>
    <w:p w:rsidR="00142E4F" w:rsidRDefault="00142E4F">
      <w:r>
        <w:t>The appraisal policy in this school provides a clear and consistent framework to assess the overall performance of teachers and identify and support t</w:t>
      </w:r>
      <w:r w:rsidR="00D1366E">
        <w:t>h</w:t>
      </w:r>
      <w:r>
        <w:t>eir continuing professional development. During this appraisal cycle, the following professional development activities were undertaken:</w:t>
      </w:r>
    </w:p>
    <w:p w:rsidR="00142E4F" w:rsidRDefault="00142E4F">
      <w:r>
        <w:lastRenderedPageBreak/>
        <w:t>[</w:t>
      </w:r>
      <w:proofErr w:type="gramStart"/>
      <w:r w:rsidRPr="00142E4F">
        <w:rPr>
          <w:color w:val="4F81BD" w:themeColor="accent1"/>
        </w:rPr>
        <w:t>list</w:t>
      </w:r>
      <w:proofErr w:type="gramEnd"/>
      <w:r>
        <w:t>]</w:t>
      </w:r>
    </w:p>
    <w:p w:rsidR="00142E4F" w:rsidRDefault="00142E4F">
      <w:r>
        <w:t xml:space="preserve">The following development activities are </w:t>
      </w:r>
      <w:r w:rsidR="00D1366E">
        <w:t>on-going</w:t>
      </w:r>
      <w:r>
        <w:t xml:space="preserve"> / planned:</w:t>
      </w:r>
    </w:p>
    <w:p w:rsidR="00142E4F" w:rsidRDefault="00142E4F" w:rsidP="00142E4F">
      <w:r>
        <w:t>[</w:t>
      </w:r>
      <w:proofErr w:type="gramStart"/>
      <w:r w:rsidRPr="00142E4F">
        <w:rPr>
          <w:color w:val="4F81BD" w:themeColor="accent1"/>
        </w:rPr>
        <w:t>list</w:t>
      </w:r>
      <w:proofErr w:type="gramEnd"/>
      <w:r>
        <w:t>]</w:t>
      </w:r>
    </w:p>
    <w:p w:rsidR="00142E4F" w:rsidRPr="00142E4F" w:rsidRDefault="00142E4F">
      <w:r>
        <w:t xml:space="preserve">The current professional development budget for the school is </w:t>
      </w:r>
      <w:proofErr w:type="gramStart"/>
      <w:r>
        <w:t>£[</w:t>
      </w:r>
      <w:proofErr w:type="gramEnd"/>
      <w:r w:rsidRPr="00142E4F">
        <w:rPr>
          <w:color w:val="4F81BD" w:themeColor="accent1"/>
        </w:rPr>
        <w:t>amount</w:t>
      </w:r>
      <w:r>
        <w:t>]. The governing body are recommended to assig</w:t>
      </w:r>
      <w:bookmarkStart w:id="0" w:name="_GoBack"/>
      <w:bookmarkEnd w:id="0"/>
      <w:r>
        <w:t xml:space="preserve">n a professional development budget of </w:t>
      </w:r>
      <w:proofErr w:type="gramStart"/>
      <w:r>
        <w:t>£[</w:t>
      </w:r>
      <w:proofErr w:type="gramEnd"/>
      <w:r w:rsidRPr="00142E4F">
        <w:rPr>
          <w:color w:val="4F81BD" w:themeColor="accent1"/>
        </w:rPr>
        <w:t>amount</w:t>
      </w:r>
      <w:r>
        <w:t>] for [</w:t>
      </w:r>
      <w:r w:rsidRPr="00142E4F">
        <w:rPr>
          <w:color w:val="4F81BD" w:themeColor="accent1"/>
        </w:rPr>
        <w:t>20YY/YY</w:t>
      </w:r>
      <w:r>
        <w:t xml:space="preserve">]. </w:t>
      </w:r>
    </w:p>
    <w:p w:rsidR="00C178EB" w:rsidRDefault="00142E4F">
      <w:pPr>
        <w:rPr>
          <w:b/>
        </w:rPr>
      </w:pPr>
      <w:r>
        <w:rPr>
          <w:b/>
        </w:rPr>
        <w:t>Pay r</w:t>
      </w:r>
      <w:r w:rsidR="00C178EB">
        <w:rPr>
          <w:b/>
        </w:rPr>
        <w:t>ecommendations</w:t>
      </w:r>
    </w:p>
    <w:p w:rsidR="00C178EB" w:rsidRDefault="00C178EB">
      <w:r>
        <w:t>[</w:t>
      </w:r>
      <w:r w:rsidR="00357899" w:rsidRPr="009F2ECD">
        <w:rPr>
          <w:color w:val="365F91" w:themeColor="accent1" w:themeShade="BF"/>
        </w:rPr>
        <w:t>N</w:t>
      </w:r>
      <w:r w:rsidRPr="009F2ECD">
        <w:rPr>
          <w:color w:val="365F91" w:themeColor="accent1" w:themeShade="BF"/>
        </w:rPr>
        <w:t>umber</w:t>
      </w:r>
      <w:r>
        <w:t xml:space="preserve">] of teachers were deemed to have </w:t>
      </w:r>
      <w:r w:rsidR="003C6794">
        <w:t>outstanding</w:t>
      </w:r>
      <w:r w:rsidR="00357899">
        <w:t xml:space="preserve"> overall </w:t>
      </w:r>
      <w:r>
        <w:t xml:space="preserve">performance </w:t>
      </w:r>
      <w:r w:rsidR="00357899">
        <w:t>and of these [</w:t>
      </w:r>
      <w:r w:rsidR="00357899" w:rsidRPr="009F2ECD">
        <w:rPr>
          <w:color w:val="365F91" w:themeColor="accent1" w:themeShade="BF"/>
        </w:rPr>
        <w:t>number</w:t>
      </w:r>
      <w:r w:rsidR="00357899">
        <w:t>] were recommended for one point pay progression and [</w:t>
      </w:r>
      <w:r w:rsidR="00357899" w:rsidRPr="009F2ECD">
        <w:rPr>
          <w:color w:val="365F91" w:themeColor="accent1" w:themeShade="BF"/>
        </w:rPr>
        <w:t>number</w:t>
      </w:r>
      <w:r w:rsidR="00357899">
        <w:t>] for two points pay progression.</w:t>
      </w:r>
    </w:p>
    <w:p w:rsidR="00357899" w:rsidRDefault="00357899" w:rsidP="00357899">
      <w:r>
        <w:t>Of the [</w:t>
      </w:r>
      <w:r w:rsidRPr="009F2ECD">
        <w:rPr>
          <w:color w:val="365F91" w:themeColor="accent1" w:themeShade="BF"/>
        </w:rPr>
        <w:t>number</w:t>
      </w:r>
      <w:r>
        <w:t xml:space="preserve">] teachers who were deemed to have </w:t>
      </w:r>
      <w:r w:rsidR="003C6794">
        <w:t>good</w:t>
      </w:r>
      <w:r>
        <w:t xml:space="preserve"> </w:t>
      </w:r>
      <w:r w:rsidR="003C6794">
        <w:t xml:space="preserve">overall </w:t>
      </w:r>
      <w:r>
        <w:t>performance</w:t>
      </w:r>
      <w:r w:rsidR="003C6794">
        <w:t>, [</w:t>
      </w:r>
      <w:r w:rsidR="003C6794" w:rsidRPr="009F2ECD">
        <w:rPr>
          <w:color w:val="365F91" w:themeColor="accent1" w:themeShade="BF"/>
        </w:rPr>
        <w:t>number</w:t>
      </w:r>
      <w:r w:rsidR="003C6794">
        <w:t>] were recommended for one point pay progression and [</w:t>
      </w:r>
      <w:r w:rsidR="003C6794" w:rsidRPr="009F2ECD">
        <w:rPr>
          <w:color w:val="365F91" w:themeColor="accent1" w:themeShade="BF"/>
        </w:rPr>
        <w:t>number</w:t>
      </w:r>
      <w:r w:rsidR="003C6794">
        <w:t>] for two points pay progression.</w:t>
      </w:r>
    </w:p>
    <w:p w:rsidR="003C6794" w:rsidRDefault="003C6794" w:rsidP="00357899">
      <w:r>
        <w:t>For the [</w:t>
      </w:r>
      <w:r w:rsidRPr="009F2ECD">
        <w:rPr>
          <w:color w:val="365F91" w:themeColor="accent1" w:themeShade="BF"/>
        </w:rPr>
        <w:t>number</w:t>
      </w:r>
      <w:r>
        <w:t>] teachers deemed requires improvement, [</w:t>
      </w:r>
      <w:r w:rsidRPr="009F2ECD">
        <w:rPr>
          <w:color w:val="365F91" w:themeColor="accent1" w:themeShade="BF"/>
        </w:rPr>
        <w:t>number</w:t>
      </w:r>
      <w:r>
        <w:t>] are currently subject to informal support measures in accordance with the teachers’ appraisal policy and [</w:t>
      </w:r>
      <w:r w:rsidRPr="009F2ECD">
        <w:rPr>
          <w:color w:val="365F91" w:themeColor="accent1" w:themeShade="BF"/>
        </w:rPr>
        <w:t>number</w:t>
      </w:r>
      <w:r>
        <w:t xml:space="preserve">] are subject to formal measures in accordance with the </w:t>
      </w:r>
      <w:r w:rsidR="00142E4F">
        <w:t xml:space="preserve">capability </w:t>
      </w:r>
      <w:r>
        <w:t>procedures.</w:t>
      </w:r>
      <w:r w:rsidR="00FF4C63">
        <w:t xml:space="preserve"> In all cases support plans are in place and are documented.</w:t>
      </w:r>
      <w:r>
        <w:t xml:space="preserve"> [</w:t>
      </w:r>
      <w:r w:rsidRPr="009F2ECD">
        <w:rPr>
          <w:color w:val="365F91" w:themeColor="accent1" w:themeShade="BF"/>
        </w:rPr>
        <w:t>Number</w:t>
      </w:r>
      <w:r>
        <w:t>] were recommended for one point pay progression.</w:t>
      </w:r>
    </w:p>
    <w:p w:rsidR="003C6794" w:rsidRDefault="003C6794" w:rsidP="003C6794">
      <w:r>
        <w:t>For the [</w:t>
      </w:r>
      <w:r w:rsidRPr="009F2ECD">
        <w:rPr>
          <w:color w:val="365F91" w:themeColor="accent1" w:themeShade="BF"/>
        </w:rPr>
        <w:t>number</w:t>
      </w:r>
      <w:r>
        <w:t>] teachers deemed inadequate, [</w:t>
      </w:r>
      <w:r w:rsidRPr="009F2ECD">
        <w:rPr>
          <w:color w:val="365F91" w:themeColor="accent1" w:themeShade="BF"/>
        </w:rPr>
        <w:t>number</w:t>
      </w:r>
      <w:r>
        <w:t>] are currently subject to informal support measures in accordance with the teachers’ appraisal policy and [</w:t>
      </w:r>
      <w:r w:rsidRPr="009F2ECD">
        <w:rPr>
          <w:color w:val="365F91" w:themeColor="accent1" w:themeShade="BF"/>
        </w:rPr>
        <w:t>number</w:t>
      </w:r>
      <w:r>
        <w:t xml:space="preserve">] are subject to formal measures in accordance with the poor performance procedures. </w:t>
      </w:r>
      <w:r w:rsidR="00FF4C63">
        <w:t xml:space="preserve">In all cases support plans are in place and are documented. </w:t>
      </w:r>
      <w:r>
        <w:t>[</w:t>
      </w:r>
      <w:r w:rsidRPr="009F2ECD">
        <w:rPr>
          <w:color w:val="365F91" w:themeColor="accent1" w:themeShade="BF"/>
        </w:rPr>
        <w:t>Number</w:t>
      </w:r>
      <w:r w:rsidR="00FF4C63">
        <w:t>]</w:t>
      </w:r>
      <w:r>
        <w:t xml:space="preserve"> were recommended for one point pay progression.</w:t>
      </w:r>
    </w:p>
    <w:p w:rsidR="00181395" w:rsidRDefault="00181395" w:rsidP="003C6794">
      <w:r>
        <w:t>Of the [</w:t>
      </w:r>
      <w:r w:rsidRPr="009F2ECD">
        <w:rPr>
          <w:color w:val="365F91" w:themeColor="accent1" w:themeShade="BF"/>
        </w:rPr>
        <w:t>number</w:t>
      </w:r>
      <w:r>
        <w:t>] teachers who applied to move to the upper pay range, [</w:t>
      </w:r>
      <w:r w:rsidRPr="009F2ECD">
        <w:rPr>
          <w:color w:val="365F91" w:themeColor="accent1" w:themeShade="BF"/>
        </w:rPr>
        <w:t>number</w:t>
      </w:r>
      <w:r>
        <w:t>] were assessed as meeting the school’s criteria for progression. [</w:t>
      </w:r>
      <w:r w:rsidRPr="009F2ECD">
        <w:rPr>
          <w:color w:val="365F91" w:themeColor="accent1" w:themeShade="BF"/>
        </w:rPr>
        <w:t>Number</w:t>
      </w:r>
      <w:r>
        <w:t xml:space="preserve">] </w:t>
      </w:r>
      <w:proofErr w:type="gramStart"/>
      <w:r>
        <w:t>have</w:t>
      </w:r>
      <w:proofErr w:type="gramEnd"/>
      <w:r>
        <w:t xml:space="preserve"> been assigned to UPR1, [</w:t>
      </w:r>
      <w:r w:rsidRPr="009F2ECD">
        <w:rPr>
          <w:color w:val="365F91" w:themeColor="accent1" w:themeShade="BF"/>
        </w:rPr>
        <w:t>number</w:t>
      </w:r>
      <w:r>
        <w:t>] to UPR2 and [</w:t>
      </w:r>
      <w:r w:rsidRPr="009F2ECD">
        <w:rPr>
          <w:color w:val="365F91" w:themeColor="accent1" w:themeShade="BF"/>
        </w:rPr>
        <w:t>number</w:t>
      </w:r>
      <w:r>
        <w:t xml:space="preserve">] to UPR3.  </w:t>
      </w:r>
    </w:p>
    <w:p w:rsidR="00207AF7" w:rsidRDefault="00207AF7" w:rsidP="003C6794">
      <w:r>
        <w:t>The revised salary bill for teachers for [</w:t>
      </w:r>
      <w:r w:rsidRPr="00E26732">
        <w:rPr>
          <w:color w:val="365F91" w:themeColor="accent1" w:themeShade="BF"/>
        </w:rPr>
        <w:t>20</w:t>
      </w:r>
      <w:r w:rsidR="00142E4F">
        <w:rPr>
          <w:color w:val="365F91" w:themeColor="accent1" w:themeShade="BF"/>
        </w:rPr>
        <w:t>YY</w:t>
      </w:r>
      <w:r w:rsidRPr="00E26732">
        <w:rPr>
          <w:color w:val="365F91" w:themeColor="accent1" w:themeShade="BF"/>
        </w:rPr>
        <w:t>/</w:t>
      </w:r>
      <w:r w:rsidR="00142E4F">
        <w:rPr>
          <w:color w:val="365F91" w:themeColor="accent1" w:themeShade="BF"/>
        </w:rPr>
        <w:t>YY</w:t>
      </w:r>
      <w:r>
        <w:t xml:space="preserve">] is </w:t>
      </w:r>
      <w:proofErr w:type="gramStart"/>
      <w:r>
        <w:t>£[</w:t>
      </w:r>
      <w:proofErr w:type="gramEnd"/>
      <w:r w:rsidRPr="00E26732">
        <w:rPr>
          <w:color w:val="365F91" w:themeColor="accent1" w:themeShade="BF"/>
        </w:rPr>
        <w:t>amount</w:t>
      </w:r>
      <w:r>
        <w:t>].</w:t>
      </w:r>
    </w:p>
    <w:p w:rsidR="003C6794" w:rsidRDefault="00FF4C63" w:rsidP="00357899">
      <w:pPr>
        <w:rPr>
          <w:b/>
        </w:rPr>
      </w:pPr>
      <w:r>
        <w:rPr>
          <w:b/>
        </w:rPr>
        <w:t>Trends</w:t>
      </w:r>
    </w:p>
    <w:p w:rsidR="00FF4C63" w:rsidRDefault="00FF4C63" w:rsidP="00357899">
      <w:proofErr w:type="gramStart"/>
      <w:r>
        <w:t>Overall performance judgements for teachers over the period [</w:t>
      </w:r>
      <w:r w:rsidRPr="00E26732">
        <w:rPr>
          <w:color w:val="365F91" w:themeColor="accent1" w:themeShade="BF"/>
        </w:rPr>
        <w:t>date</w:t>
      </w:r>
      <w:r>
        <w:t>] to [</w:t>
      </w:r>
      <w:r w:rsidRPr="00E26732">
        <w:rPr>
          <w:color w:val="365F91" w:themeColor="accent1" w:themeShade="BF"/>
        </w:rPr>
        <w:t>date</w:t>
      </w:r>
      <w:r>
        <w:t>] is</w:t>
      </w:r>
      <w:proofErr w:type="gramEnd"/>
      <w:r>
        <w:t xml:space="preserve"> shown below:</w:t>
      </w:r>
    </w:p>
    <w:tbl>
      <w:tblPr>
        <w:tblStyle w:val="TableGrid"/>
        <w:tblW w:w="0" w:type="auto"/>
        <w:tblLook w:val="04A0" w:firstRow="1" w:lastRow="0" w:firstColumn="1" w:lastColumn="0" w:noHBand="0" w:noVBand="1"/>
      </w:tblPr>
      <w:tblGrid>
        <w:gridCol w:w="2310"/>
        <w:gridCol w:w="2310"/>
        <w:gridCol w:w="2311"/>
        <w:gridCol w:w="2311"/>
      </w:tblGrid>
      <w:tr w:rsidR="002E0378" w:rsidRPr="00D90D12" w:rsidTr="002E0378">
        <w:tc>
          <w:tcPr>
            <w:tcW w:w="2310" w:type="dxa"/>
          </w:tcPr>
          <w:p w:rsidR="002E0378" w:rsidRPr="00D90D12" w:rsidRDefault="002E0378" w:rsidP="000E2244">
            <w:pPr>
              <w:rPr>
                <w:b/>
              </w:rPr>
            </w:pPr>
            <w:r w:rsidRPr="00D90D12">
              <w:rPr>
                <w:b/>
              </w:rPr>
              <w:t>Overall judgement</w:t>
            </w:r>
          </w:p>
        </w:tc>
        <w:tc>
          <w:tcPr>
            <w:tcW w:w="2310" w:type="dxa"/>
          </w:tcPr>
          <w:p w:rsidR="002E0378" w:rsidRPr="00142E4F" w:rsidRDefault="00142E4F" w:rsidP="000E2244">
            <w:pPr>
              <w:rPr>
                <w:b/>
                <w:color w:val="4F81BD" w:themeColor="accent1"/>
              </w:rPr>
            </w:pPr>
            <w:r w:rsidRPr="00142E4F">
              <w:rPr>
                <w:b/>
                <w:color w:val="4F81BD" w:themeColor="accent1"/>
              </w:rPr>
              <w:t>20YY</w:t>
            </w:r>
          </w:p>
        </w:tc>
        <w:tc>
          <w:tcPr>
            <w:tcW w:w="2311" w:type="dxa"/>
          </w:tcPr>
          <w:p w:rsidR="002E0378" w:rsidRPr="00142E4F" w:rsidRDefault="00142E4F" w:rsidP="000E2244">
            <w:pPr>
              <w:rPr>
                <w:b/>
                <w:color w:val="4F81BD" w:themeColor="accent1"/>
              </w:rPr>
            </w:pPr>
            <w:r w:rsidRPr="00142E4F">
              <w:rPr>
                <w:b/>
                <w:color w:val="4F81BD" w:themeColor="accent1"/>
              </w:rPr>
              <w:t>20YY</w:t>
            </w:r>
          </w:p>
        </w:tc>
        <w:tc>
          <w:tcPr>
            <w:tcW w:w="2311" w:type="dxa"/>
          </w:tcPr>
          <w:p w:rsidR="002E0378" w:rsidRPr="00142E4F" w:rsidRDefault="00142E4F" w:rsidP="000E2244">
            <w:pPr>
              <w:rPr>
                <w:b/>
                <w:color w:val="4F81BD" w:themeColor="accent1"/>
              </w:rPr>
            </w:pPr>
            <w:r w:rsidRPr="00142E4F">
              <w:rPr>
                <w:b/>
                <w:color w:val="4F81BD" w:themeColor="accent1"/>
              </w:rPr>
              <w:t>20YY</w:t>
            </w:r>
          </w:p>
        </w:tc>
      </w:tr>
      <w:tr w:rsidR="002E0378" w:rsidTr="002E0378">
        <w:tc>
          <w:tcPr>
            <w:tcW w:w="2310" w:type="dxa"/>
          </w:tcPr>
          <w:p w:rsidR="002E0378" w:rsidRPr="00D90D12" w:rsidRDefault="002E0378" w:rsidP="000E2244">
            <w:pPr>
              <w:rPr>
                <w:b/>
              </w:rPr>
            </w:pPr>
            <w:r w:rsidRPr="00D90D12">
              <w:rPr>
                <w:b/>
              </w:rPr>
              <w:t>Outstanding</w:t>
            </w:r>
          </w:p>
        </w:tc>
        <w:tc>
          <w:tcPr>
            <w:tcW w:w="2310" w:type="dxa"/>
          </w:tcPr>
          <w:p w:rsidR="002E0378" w:rsidRDefault="002E0378" w:rsidP="002E0378">
            <w:r>
              <w:t>[</w:t>
            </w:r>
            <w:r w:rsidRPr="00E26732">
              <w:rPr>
                <w:color w:val="365F91" w:themeColor="accent1" w:themeShade="BF"/>
              </w:rPr>
              <w:t>number</w:t>
            </w:r>
            <w:r w:rsidR="00D90D12" w:rsidRPr="00E26732">
              <w:rPr>
                <w:color w:val="365F91" w:themeColor="accent1" w:themeShade="BF"/>
              </w:rPr>
              <w:t xml:space="preserve"> of teachers</w:t>
            </w:r>
            <w:r w:rsidR="009F2ECD" w:rsidRPr="00E26732">
              <w:rPr>
                <w:color w:val="365F91" w:themeColor="accent1" w:themeShade="BF"/>
              </w:rPr>
              <w:t>, xx%</w:t>
            </w:r>
            <w:r>
              <w:t>]</w:t>
            </w:r>
          </w:p>
        </w:tc>
        <w:tc>
          <w:tcPr>
            <w:tcW w:w="2311" w:type="dxa"/>
          </w:tcPr>
          <w:p w:rsidR="002E0378" w:rsidRDefault="002E0378" w:rsidP="000E2244"/>
        </w:tc>
        <w:tc>
          <w:tcPr>
            <w:tcW w:w="2311" w:type="dxa"/>
          </w:tcPr>
          <w:p w:rsidR="002E0378" w:rsidRDefault="002E0378" w:rsidP="000E2244"/>
        </w:tc>
      </w:tr>
      <w:tr w:rsidR="002E0378" w:rsidTr="002E0378">
        <w:tc>
          <w:tcPr>
            <w:tcW w:w="2310" w:type="dxa"/>
          </w:tcPr>
          <w:p w:rsidR="002E0378" w:rsidRPr="00D90D12" w:rsidRDefault="002E0378" w:rsidP="000E2244">
            <w:pPr>
              <w:rPr>
                <w:b/>
              </w:rPr>
            </w:pPr>
            <w:r w:rsidRPr="00D90D12">
              <w:rPr>
                <w:b/>
              </w:rPr>
              <w:t>Good</w:t>
            </w:r>
          </w:p>
        </w:tc>
        <w:tc>
          <w:tcPr>
            <w:tcW w:w="2310" w:type="dxa"/>
          </w:tcPr>
          <w:p w:rsidR="002E0378" w:rsidRDefault="002E0378" w:rsidP="000E2244"/>
        </w:tc>
        <w:tc>
          <w:tcPr>
            <w:tcW w:w="2311" w:type="dxa"/>
          </w:tcPr>
          <w:p w:rsidR="002E0378" w:rsidRDefault="002E0378" w:rsidP="000E2244"/>
        </w:tc>
        <w:tc>
          <w:tcPr>
            <w:tcW w:w="2311" w:type="dxa"/>
          </w:tcPr>
          <w:p w:rsidR="002E0378" w:rsidRDefault="002E0378" w:rsidP="000E2244"/>
        </w:tc>
      </w:tr>
      <w:tr w:rsidR="002E0378" w:rsidTr="002E0378">
        <w:tc>
          <w:tcPr>
            <w:tcW w:w="2310" w:type="dxa"/>
          </w:tcPr>
          <w:p w:rsidR="002E0378" w:rsidRPr="00D90D12" w:rsidRDefault="002E0378" w:rsidP="000E2244">
            <w:pPr>
              <w:rPr>
                <w:b/>
              </w:rPr>
            </w:pPr>
            <w:r w:rsidRPr="00D90D12">
              <w:rPr>
                <w:b/>
              </w:rPr>
              <w:t>Requires Improvement</w:t>
            </w:r>
          </w:p>
        </w:tc>
        <w:tc>
          <w:tcPr>
            <w:tcW w:w="2310" w:type="dxa"/>
          </w:tcPr>
          <w:p w:rsidR="002E0378" w:rsidRDefault="002E0378" w:rsidP="000E2244"/>
        </w:tc>
        <w:tc>
          <w:tcPr>
            <w:tcW w:w="2311" w:type="dxa"/>
          </w:tcPr>
          <w:p w:rsidR="002E0378" w:rsidRDefault="002E0378" w:rsidP="000E2244"/>
        </w:tc>
        <w:tc>
          <w:tcPr>
            <w:tcW w:w="2311" w:type="dxa"/>
          </w:tcPr>
          <w:p w:rsidR="002E0378" w:rsidRDefault="002E0378" w:rsidP="000E2244"/>
        </w:tc>
      </w:tr>
      <w:tr w:rsidR="002E0378" w:rsidTr="002E0378">
        <w:tc>
          <w:tcPr>
            <w:tcW w:w="2310" w:type="dxa"/>
          </w:tcPr>
          <w:p w:rsidR="002E0378" w:rsidRPr="00D90D12" w:rsidRDefault="002E0378" w:rsidP="000E2244">
            <w:pPr>
              <w:rPr>
                <w:b/>
              </w:rPr>
            </w:pPr>
            <w:r w:rsidRPr="00D90D12">
              <w:rPr>
                <w:b/>
              </w:rPr>
              <w:lastRenderedPageBreak/>
              <w:t>Inadequate</w:t>
            </w:r>
          </w:p>
        </w:tc>
        <w:tc>
          <w:tcPr>
            <w:tcW w:w="2310" w:type="dxa"/>
          </w:tcPr>
          <w:p w:rsidR="002E0378" w:rsidRDefault="002E0378" w:rsidP="000E2244"/>
        </w:tc>
        <w:tc>
          <w:tcPr>
            <w:tcW w:w="2311" w:type="dxa"/>
          </w:tcPr>
          <w:p w:rsidR="002E0378" w:rsidRDefault="002E0378" w:rsidP="000E2244"/>
        </w:tc>
        <w:tc>
          <w:tcPr>
            <w:tcW w:w="2311" w:type="dxa"/>
          </w:tcPr>
          <w:p w:rsidR="002E0378" w:rsidRDefault="002E0378" w:rsidP="000E2244"/>
        </w:tc>
      </w:tr>
      <w:tr w:rsidR="001F1E44" w:rsidTr="002E0378">
        <w:tc>
          <w:tcPr>
            <w:tcW w:w="2310" w:type="dxa"/>
          </w:tcPr>
          <w:p w:rsidR="001F1E44" w:rsidRPr="00D90D12" w:rsidRDefault="001F1E44" w:rsidP="000E2244">
            <w:pPr>
              <w:rPr>
                <w:b/>
              </w:rPr>
            </w:pPr>
            <w:r>
              <w:rPr>
                <w:b/>
              </w:rPr>
              <w:t>No. of teachers progressing within main pay range</w:t>
            </w:r>
          </w:p>
        </w:tc>
        <w:tc>
          <w:tcPr>
            <w:tcW w:w="2310" w:type="dxa"/>
          </w:tcPr>
          <w:p w:rsidR="001F1E44" w:rsidRDefault="001F1E44" w:rsidP="000E2244"/>
        </w:tc>
        <w:tc>
          <w:tcPr>
            <w:tcW w:w="2311" w:type="dxa"/>
          </w:tcPr>
          <w:p w:rsidR="001F1E44" w:rsidRDefault="001F1E44" w:rsidP="000E2244"/>
        </w:tc>
        <w:tc>
          <w:tcPr>
            <w:tcW w:w="2311" w:type="dxa"/>
          </w:tcPr>
          <w:p w:rsidR="001F1E44" w:rsidRDefault="001F1E44" w:rsidP="000E2244"/>
        </w:tc>
      </w:tr>
      <w:tr w:rsidR="001F1E44" w:rsidTr="002E0378">
        <w:tc>
          <w:tcPr>
            <w:tcW w:w="2310" w:type="dxa"/>
          </w:tcPr>
          <w:p w:rsidR="001F1E44" w:rsidRDefault="001F1E44" w:rsidP="000E2244">
            <w:pPr>
              <w:rPr>
                <w:b/>
              </w:rPr>
            </w:pPr>
            <w:r>
              <w:rPr>
                <w:b/>
              </w:rPr>
              <w:t>No. of teachers progressing to / within upper pay range</w:t>
            </w:r>
          </w:p>
        </w:tc>
        <w:tc>
          <w:tcPr>
            <w:tcW w:w="2310" w:type="dxa"/>
          </w:tcPr>
          <w:p w:rsidR="001F1E44" w:rsidRDefault="001F1E44" w:rsidP="000E2244"/>
        </w:tc>
        <w:tc>
          <w:tcPr>
            <w:tcW w:w="2311" w:type="dxa"/>
          </w:tcPr>
          <w:p w:rsidR="001F1E44" w:rsidRDefault="001F1E44" w:rsidP="000E2244"/>
        </w:tc>
        <w:tc>
          <w:tcPr>
            <w:tcW w:w="2311" w:type="dxa"/>
          </w:tcPr>
          <w:p w:rsidR="001F1E44" w:rsidRDefault="001F1E44" w:rsidP="000E2244"/>
        </w:tc>
      </w:tr>
      <w:tr w:rsidR="001F1E44" w:rsidTr="002E0378">
        <w:tc>
          <w:tcPr>
            <w:tcW w:w="2310" w:type="dxa"/>
          </w:tcPr>
          <w:p w:rsidR="001F1E44" w:rsidRDefault="001F1E44" w:rsidP="000E2244">
            <w:pPr>
              <w:rPr>
                <w:b/>
              </w:rPr>
            </w:pPr>
            <w:r>
              <w:rPr>
                <w:b/>
              </w:rPr>
              <w:t xml:space="preserve">No. of teachers progressing </w:t>
            </w:r>
            <w:r w:rsidR="009F2ECD">
              <w:rPr>
                <w:b/>
              </w:rPr>
              <w:t>with</w:t>
            </w:r>
            <w:r>
              <w:rPr>
                <w:b/>
              </w:rPr>
              <w:t>in leadership pay ranges</w:t>
            </w:r>
          </w:p>
        </w:tc>
        <w:tc>
          <w:tcPr>
            <w:tcW w:w="2310" w:type="dxa"/>
          </w:tcPr>
          <w:p w:rsidR="001F1E44" w:rsidRDefault="001F1E44" w:rsidP="000E2244"/>
        </w:tc>
        <w:tc>
          <w:tcPr>
            <w:tcW w:w="2311" w:type="dxa"/>
          </w:tcPr>
          <w:p w:rsidR="001F1E44" w:rsidRDefault="001F1E44" w:rsidP="000E2244"/>
        </w:tc>
        <w:tc>
          <w:tcPr>
            <w:tcW w:w="2311" w:type="dxa"/>
          </w:tcPr>
          <w:p w:rsidR="001F1E44" w:rsidRDefault="001F1E44" w:rsidP="000E2244"/>
        </w:tc>
      </w:tr>
    </w:tbl>
    <w:p w:rsidR="00D90D12" w:rsidRDefault="00D90D12" w:rsidP="000E2244"/>
    <w:p w:rsidR="000E2244" w:rsidRDefault="000E2244" w:rsidP="000E2244">
      <w:r>
        <w:t>The data shows that [</w:t>
      </w:r>
      <w:r w:rsidRPr="00E26732">
        <w:rPr>
          <w:color w:val="365F91" w:themeColor="accent1" w:themeShade="BF"/>
        </w:rPr>
        <w:t>school to summarise trends, eg improving</w:t>
      </w:r>
      <w:r>
        <w:t>].</w:t>
      </w:r>
    </w:p>
    <w:p w:rsidR="00142E4F" w:rsidRDefault="00142E4F" w:rsidP="00357899">
      <w:pPr>
        <w:rPr>
          <w:b/>
        </w:rPr>
      </w:pPr>
      <w:r>
        <w:rPr>
          <w:b/>
        </w:rPr>
        <w:t>Equalities impact assessment</w:t>
      </w:r>
    </w:p>
    <w:p w:rsidR="00142E4F" w:rsidRDefault="00142E4F" w:rsidP="00357899">
      <w:r>
        <w:t>Anonymous data about the ethnicity, gender and age profile of the teaching staff is shown below. The first set of data ‘all teaching staff’ shows the overall profile of teaching staff at the school. The second set of data ‘eligible for pay progression’ shows what percentage of each group are eligible for pay progression.  The final set of data ‘awarded pay progression’ shows the percentage of those eligible for progression in each group that were awarded pay progression.</w:t>
      </w:r>
      <w:r w:rsidR="006823BA">
        <w:t xml:space="preserve"> The categories used mirror those used in the national workforce census.</w:t>
      </w:r>
    </w:p>
    <w:tbl>
      <w:tblPr>
        <w:tblStyle w:val="TableGrid"/>
        <w:tblW w:w="0" w:type="auto"/>
        <w:tblLook w:val="04A0" w:firstRow="1" w:lastRow="0" w:firstColumn="1" w:lastColumn="0" w:noHBand="0" w:noVBand="1"/>
      </w:tblPr>
      <w:tblGrid>
        <w:gridCol w:w="3652"/>
        <w:gridCol w:w="1863"/>
        <w:gridCol w:w="1863"/>
        <w:gridCol w:w="1864"/>
      </w:tblGrid>
      <w:tr w:rsidR="00142E4F" w:rsidTr="006823BA">
        <w:tc>
          <w:tcPr>
            <w:tcW w:w="3652" w:type="dxa"/>
            <w:tcBorders>
              <w:top w:val="nil"/>
              <w:left w:val="nil"/>
            </w:tcBorders>
          </w:tcPr>
          <w:p w:rsidR="00142E4F" w:rsidRDefault="00142E4F" w:rsidP="00357899"/>
        </w:tc>
        <w:tc>
          <w:tcPr>
            <w:tcW w:w="1863" w:type="dxa"/>
          </w:tcPr>
          <w:p w:rsidR="00142E4F" w:rsidRDefault="00142E4F" w:rsidP="00357899">
            <w:r>
              <w:t>All teaching staff</w:t>
            </w:r>
          </w:p>
        </w:tc>
        <w:tc>
          <w:tcPr>
            <w:tcW w:w="1863" w:type="dxa"/>
          </w:tcPr>
          <w:p w:rsidR="00142E4F" w:rsidRDefault="00142E4F" w:rsidP="00357899">
            <w:r>
              <w:t>Eligible for pay progression</w:t>
            </w:r>
          </w:p>
        </w:tc>
        <w:tc>
          <w:tcPr>
            <w:tcW w:w="1864" w:type="dxa"/>
          </w:tcPr>
          <w:p w:rsidR="00142E4F" w:rsidRDefault="00142E4F" w:rsidP="00357899">
            <w:r>
              <w:t>Awarded pay progression</w:t>
            </w:r>
          </w:p>
        </w:tc>
      </w:tr>
      <w:tr w:rsidR="00142E4F" w:rsidTr="006823BA">
        <w:tc>
          <w:tcPr>
            <w:tcW w:w="3652" w:type="dxa"/>
          </w:tcPr>
          <w:p w:rsidR="00142E4F" w:rsidRDefault="00142E4F" w:rsidP="00357899">
            <w:r>
              <w:t>White British</w:t>
            </w:r>
          </w:p>
        </w:tc>
        <w:tc>
          <w:tcPr>
            <w:tcW w:w="1863" w:type="dxa"/>
          </w:tcPr>
          <w:p w:rsidR="00142E4F" w:rsidRDefault="00142E4F" w:rsidP="00357899"/>
        </w:tc>
        <w:tc>
          <w:tcPr>
            <w:tcW w:w="1863" w:type="dxa"/>
          </w:tcPr>
          <w:p w:rsidR="00142E4F" w:rsidRDefault="00142E4F" w:rsidP="00357899"/>
        </w:tc>
        <w:tc>
          <w:tcPr>
            <w:tcW w:w="1864" w:type="dxa"/>
          </w:tcPr>
          <w:p w:rsidR="00142E4F" w:rsidRDefault="00142E4F" w:rsidP="00357899"/>
        </w:tc>
      </w:tr>
      <w:tr w:rsidR="00142E4F" w:rsidTr="006823BA">
        <w:tc>
          <w:tcPr>
            <w:tcW w:w="3652" w:type="dxa"/>
          </w:tcPr>
          <w:p w:rsidR="00142E4F" w:rsidRDefault="00142E4F" w:rsidP="00357899">
            <w:r>
              <w:t>White Irish</w:t>
            </w:r>
          </w:p>
        </w:tc>
        <w:tc>
          <w:tcPr>
            <w:tcW w:w="1863" w:type="dxa"/>
          </w:tcPr>
          <w:p w:rsidR="00142E4F" w:rsidRDefault="00142E4F" w:rsidP="00357899"/>
        </w:tc>
        <w:tc>
          <w:tcPr>
            <w:tcW w:w="1863" w:type="dxa"/>
          </w:tcPr>
          <w:p w:rsidR="00142E4F" w:rsidRDefault="00142E4F" w:rsidP="00357899"/>
        </w:tc>
        <w:tc>
          <w:tcPr>
            <w:tcW w:w="1864" w:type="dxa"/>
          </w:tcPr>
          <w:p w:rsidR="00142E4F" w:rsidRDefault="00142E4F" w:rsidP="00357899"/>
        </w:tc>
      </w:tr>
      <w:tr w:rsidR="00142E4F" w:rsidTr="006823BA">
        <w:tc>
          <w:tcPr>
            <w:tcW w:w="3652" w:type="dxa"/>
          </w:tcPr>
          <w:p w:rsidR="00142E4F" w:rsidRDefault="00142E4F" w:rsidP="00357899">
            <w:r>
              <w:t>Any other white background</w:t>
            </w:r>
          </w:p>
        </w:tc>
        <w:tc>
          <w:tcPr>
            <w:tcW w:w="1863" w:type="dxa"/>
          </w:tcPr>
          <w:p w:rsidR="00142E4F" w:rsidRDefault="00142E4F" w:rsidP="00357899"/>
        </w:tc>
        <w:tc>
          <w:tcPr>
            <w:tcW w:w="1863" w:type="dxa"/>
          </w:tcPr>
          <w:p w:rsidR="00142E4F" w:rsidRDefault="00142E4F" w:rsidP="00357899"/>
        </w:tc>
        <w:tc>
          <w:tcPr>
            <w:tcW w:w="1864" w:type="dxa"/>
          </w:tcPr>
          <w:p w:rsidR="00142E4F" w:rsidRDefault="00142E4F" w:rsidP="00357899"/>
        </w:tc>
      </w:tr>
      <w:tr w:rsidR="00142E4F" w:rsidTr="006823BA">
        <w:tc>
          <w:tcPr>
            <w:tcW w:w="3652" w:type="dxa"/>
          </w:tcPr>
          <w:p w:rsidR="00142E4F" w:rsidRDefault="00142E4F" w:rsidP="00357899">
            <w:r>
              <w:t>White and black Caribbean</w:t>
            </w:r>
          </w:p>
        </w:tc>
        <w:tc>
          <w:tcPr>
            <w:tcW w:w="1863" w:type="dxa"/>
          </w:tcPr>
          <w:p w:rsidR="00142E4F" w:rsidRDefault="00142E4F" w:rsidP="00357899"/>
        </w:tc>
        <w:tc>
          <w:tcPr>
            <w:tcW w:w="1863" w:type="dxa"/>
          </w:tcPr>
          <w:p w:rsidR="00142E4F" w:rsidRDefault="00142E4F" w:rsidP="00357899"/>
        </w:tc>
        <w:tc>
          <w:tcPr>
            <w:tcW w:w="1864" w:type="dxa"/>
          </w:tcPr>
          <w:p w:rsidR="00142E4F" w:rsidRDefault="00142E4F" w:rsidP="00357899"/>
        </w:tc>
      </w:tr>
      <w:tr w:rsidR="00142E4F" w:rsidTr="006823BA">
        <w:tc>
          <w:tcPr>
            <w:tcW w:w="3652" w:type="dxa"/>
          </w:tcPr>
          <w:p w:rsidR="00142E4F" w:rsidRDefault="00142E4F" w:rsidP="00357899">
            <w:r>
              <w:t>White and black African</w:t>
            </w:r>
          </w:p>
        </w:tc>
        <w:tc>
          <w:tcPr>
            <w:tcW w:w="1863" w:type="dxa"/>
          </w:tcPr>
          <w:p w:rsidR="00142E4F" w:rsidRDefault="00142E4F" w:rsidP="00357899"/>
        </w:tc>
        <w:tc>
          <w:tcPr>
            <w:tcW w:w="1863" w:type="dxa"/>
          </w:tcPr>
          <w:p w:rsidR="00142E4F" w:rsidRDefault="00142E4F" w:rsidP="00357899"/>
        </w:tc>
        <w:tc>
          <w:tcPr>
            <w:tcW w:w="1864" w:type="dxa"/>
          </w:tcPr>
          <w:p w:rsidR="00142E4F" w:rsidRDefault="00142E4F" w:rsidP="00357899"/>
        </w:tc>
      </w:tr>
      <w:tr w:rsidR="00142E4F" w:rsidTr="006823BA">
        <w:tc>
          <w:tcPr>
            <w:tcW w:w="3652" w:type="dxa"/>
          </w:tcPr>
          <w:p w:rsidR="00142E4F" w:rsidRDefault="00142E4F" w:rsidP="00357899">
            <w:r>
              <w:t>White and Asian</w:t>
            </w:r>
          </w:p>
        </w:tc>
        <w:tc>
          <w:tcPr>
            <w:tcW w:w="1863" w:type="dxa"/>
          </w:tcPr>
          <w:p w:rsidR="00142E4F" w:rsidRDefault="00142E4F" w:rsidP="00357899"/>
        </w:tc>
        <w:tc>
          <w:tcPr>
            <w:tcW w:w="1863" w:type="dxa"/>
          </w:tcPr>
          <w:p w:rsidR="00142E4F" w:rsidRDefault="00142E4F" w:rsidP="00357899"/>
        </w:tc>
        <w:tc>
          <w:tcPr>
            <w:tcW w:w="1864" w:type="dxa"/>
          </w:tcPr>
          <w:p w:rsidR="00142E4F" w:rsidRDefault="00142E4F" w:rsidP="00357899"/>
        </w:tc>
      </w:tr>
      <w:tr w:rsidR="00142E4F" w:rsidTr="006823BA">
        <w:tc>
          <w:tcPr>
            <w:tcW w:w="3652" w:type="dxa"/>
          </w:tcPr>
          <w:p w:rsidR="00142E4F" w:rsidRDefault="00142E4F" w:rsidP="00357899">
            <w:r>
              <w:t>Any other mixed background</w:t>
            </w:r>
          </w:p>
        </w:tc>
        <w:tc>
          <w:tcPr>
            <w:tcW w:w="1863" w:type="dxa"/>
          </w:tcPr>
          <w:p w:rsidR="00142E4F" w:rsidRDefault="00142E4F" w:rsidP="00357899"/>
        </w:tc>
        <w:tc>
          <w:tcPr>
            <w:tcW w:w="1863" w:type="dxa"/>
          </w:tcPr>
          <w:p w:rsidR="00142E4F" w:rsidRDefault="00142E4F" w:rsidP="00357899"/>
        </w:tc>
        <w:tc>
          <w:tcPr>
            <w:tcW w:w="1864" w:type="dxa"/>
          </w:tcPr>
          <w:p w:rsidR="00142E4F" w:rsidRDefault="00142E4F" w:rsidP="00357899"/>
        </w:tc>
      </w:tr>
      <w:tr w:rsidR="00142E4F" w:rsidTr="006823BA">
        <w:tc>
          <w:tcPr>
            <w:tcW w:w="3652" w:type="dxa"/>
          </w:tcPr>
          <w:p w:rsidR="00142E4F" w:rsidRDefault="006823BA" w:rsidP="00357899">
            <w:r>
              <w:t>Indian</w:t>
            </w:r>
          </w:p>
        </w:tc>
        <w:tc>
          <w:tcPr>
            <w:tcW w:w="1863" w:type="dxa"/>
          </w:tcPr>
          <w:p w:rsidR="00142E4F" w:rsidRDefault="00142E4F" w:rsidP="00357899"/>
        </w:tc>
        <w:tc>
          <w:tcPr>
            <w:tcW w:w="1863" w:type="dxa"/>
          </w:tcPr>
          <w:p w:rsidR="00142E4F" w:rsidRDefault="00142E4F" w:rsidP="00357899"/>
        </w:tc>
        <w:tc>
          <w:tcPr>
            <w:tcW w:w="1864" w:type="dxa"/>
          </w:tcPr>
          <w:p w:rsidR="00142E4F" w:rsidRDefault="00142E4F" w:rsidP="00357899"/>
        </w:tc>
      </w:tr>
      <w:tr w:rsidR="006823BA" w:rsidTr="006823BA">
        <w:tc>
          <w:tcPr>
            <w:tcW w:w="3652" w:type="dxa"/>
          </w:tcPr>
          <w:p w:rsidR="006823BA" w:rsidRDefault="006823BA" w:rsidP="00357899">
            <w:r>
              <w:t>Pakistani</w:t>
            </w:r>
          </w:p>
        </w:tc>
        <w:tc>
          <w:tcPr>
            <w:tcW w:w="1863" w:type="dxa"/>
          </w:tcPr>
          <w:p w:rsidR="006823BA" w:rsidRDefault="006823BA" w:rsidP="00357899"/>
        </w:tc>
        <w:tc>
          <w:tcPr>
            <w:tcW w:w="1863" w:type="dxa"/>
          </w:tcPr>
          <w:p w:rsidR="006823BA" w:rsidRDefault="006823BA" w:rsidP="00357899"/>
        </w:tc>
        <w:tc>
          <w:tcPr>
            <w:tcW w:w="1864" w:type="dxa"/>
          </w:tcPr>
          <w:p w:rsidR="006823BA" w:rsidRDefault="006823BA" w:rsidP="00357899"/>
        </w:tc>
      </w:tr>
      <w:tr w:rsidR="006823BA" w:rsidTr="006823BA">
        <w:tc>
          <w:tcPr>
            <w:tcW w:w="3652" w:type="dxa"/>
          </w:tcPr>
          <w:p w:rsidR="006823BA" w:rsidRDefault="006823BA" w:rsidP="00357899">
            <w:r>
              <w:t>Bangladeshi</w:t>
            </w:r>
          </w:p>
        </w:tc>
        <w:tc>
          <w:tcPr>
            <w:tcW w:w="1863" w:type="dxa"/>
          </w:tcPr>
          <w:p w:rsidR="006823BA" w:rsidRDefault="006823BA" w:rsidP="00357899"/>
        </w:tc>
        <w:tc>
          <w:tcPr>
            <w:tcW w:w="1863" w:type="dxa"/>
          </w:tcPr>
          <w:p w:rsidR="006823BA" w:rsidRDefault="006823BA" w:rsidP="00357899"/>
        </w:tc>
        <w:tc>
          <w:tcPr>
            <w:tcW w:w="1864" w:type="dxa"/>
          </w:tcPr>
          <w:p w:rsidR="006823BA" w:rsidRDefault="006823BA" w:rsidP="00357899"/>
        </w:tc>
      </w:tr>
      <w:tr w:rsidR="006823BA" w:rsidTr="006823BA">
        <w:tc>
          <w:tcPr>
            <w:tcW w:w="3652" w:type="dxa"/>
          </w:tcPr>
          <w:p w:rsidR="006823BA" w:rsidRDefault="006823BA" w:rsidP="00357899">
            <w:r>
              <w:t>Any other Asian background</w:t>
            </w:r>
          </w:p>
        </w:tc>
        <w:tc>
          <w:tcPr>
            <w:tcW w:w="1863" w:type="dxa"/>
          </w:tcPr>
          <w:p w:rsidR="006823BA" w:rsidRDefault="006823BA" w:rsidP="00357899"/>
        </w:tc>
        <w:tc>
          <w:tcPr>
            <w:tcW w:w="1863" w:type="dxa"/>
          </w:tcPr>
          <w:p w:rsidR="006823BA" w:rsidRDefault="006823BA" w:rsidP="00357899"/>
        </w:tc>
        <w:tc>
          <w:tcPr>
            <w:tcW w:w="1864" w:type="dxa"/>
          </w:tcPr>
          <w:p w:rsidR="006823BA" w:rsidRDefault="006823BA" w:rsidP="00357899"/>
        </w:tc>
      </w:tr>
      <w:tr w:rsidR="006823BA" w:rsidTr="006823BA">
        <w:tc>
          <w:tcPr>
            <w:tcW w:w="3652" w:type="dxa"/>
          </w:tcPr>
          <w:p w:rsidR="006823BA" w:rsidRDefault="006823BA" w:rsidP="00357899">
            <w:r>
              <w:t>Black Caribbean</w:t>
            </w:r>
          </w:p>
        </w:tc>
        <w:tc>
          <w:tcPr>
            <w:tcW w:w="1863" w:type="dxa"/>
          </w:tcPr>
          <w:p w:rsidR="006823BA" w:rsidRDefault="006823BA" w:rsidP="00357899"/>
        </w:tc>
        <w:tc>
          <w:tcPr>
            <w:tcW w:w="1863" w:type="dxa"/>
          </w:tcPr>
          <w:p w:rsidR="006823BA" w:rsidRDefault="006823BA" w:rsidP="00357899"/>
        </w:tc>
        <w:tc>
          <w:tcPr>
            <w:tcW w:w="1864" w:type="dxa"/>
          </w:tcPr>
          <w:p w:rsidR="006823BA" w:rsidRDefault="006823BA" w:rsidP="00357899"/>
        </w:tc>
      </w:tr>
      <w:tr w:rsidR="006823BA" w:rsidTr="006823BA">
        <w:tc>
          <w:tcPr>
            <w:tcW w:w="3652" w:type="dxa"/>
          </w:tcPr>
          <w:p w:rsidR="006823BA" w:rsidRDefault="006823BA" w:rsidP="00357899">
            <w:r>
              <w:t>Black African</w:t>
            </w:r>
          </w:p>
        </w:tc>
        <w:tc>
          <w:tcPr>
            <w:tcW w:w="1863" w:type="dxa"/>
          </w:tcPr>
          <w:p w:rsidR="006823BA" w:rsidRDefault="006823BA" w:rsidP="00357899"/>
        </w:tc>
        <w:tc>
          <w:tcPr>
            <w:tcW w:w="1863" w:type="dxa"/>
          </w:tcPr>
          <w:p w:rsidR="006823BA" w:rsidRDefault="006823BA" w:rsidP="00357899"/>
        </w:tc>
        <w:tc>
          <w:tcPr>
            <w:tcW w:w="1864" w:type="dxa"/>
          </w:tcPr>
          <w:p w:rsidR="006823BA" w:rsidRDefault="006823BA" w:rsidP="00357899"/>
        </w:tc>
      </w:tr>
      <w:tr w:rsidR="006823BA" w:rsidTr="006823BA">
        <w:tc>
          <w:tcPr>
            <w:tcW w:w="3652" w:type="dxa"/>
          </w:tcPr>
          <w:p w:rsidR="006823BA" w:rsidRDefault="006823BA" w:rsidP="00357899">
            <w:r>
              <w:t>Any other black background</w:t>
            </w:r>
          </w:p>
        </w:tc>
        <w:tc>
          <w:tcPr>
            <w:tcW w:w="1863" w:type="dxa"/>
          </w:tcPr>
          <w:p w:rsidR="006823BA" w:rsidRDefault="006823BA" w:rsidP="00357899"/>
        </w:tc>
        <w:tc>
          <w:tcPr>
            <w:tcW w:w="1863" w:type="dxa"/>
          </w:tcPr>
          <w:p w:rsidR="006823BA" w:rsidRDefault="006823BA" w:rsidP="00357899"/>
        </w:tc>
        <w:tc>
          <w:tcPr>
            <w:tcW w:w="1864" w:type="dxa"/>
          </w:tcPr>
          <w:p w:rsidR="006823BA" w:rsidRDefault="006823BA" w:rsidP="00357899"/>
        </w:tc>
      </w:tr>
      <w:tr w:rsidR="006823BA" w:rsidTr="006823BA">
        <w:tc>
          <w:tcPr>
            <w:tcW w:w="3652" w:type="dxa"/>
          </w:tcPr>
          <w:p w:rsidR="006823BA" w:rsidRDefault="006823BA" w:rsidP="00357899">
            <w:r>
              <w:t>Chinese</w:t>
            </w:r>
          </w:p>
        </w:tc>
        <w:tc>
          <w:tcPr>
            <w:tcW w:w="1863" w:type="dxa"/>
          </w:tcPr>
          <w:p w:rsidR="006823BA" w:rsidRDefault="006823BA" w:rsidP="00357899"/>
        </w:tc>
        <w:tc>
          <w:tcPr>
            <w:tcW w:w="1863" w:type="dxa"/>
          </w:tcPr>
          <w:p w:rsidR="006823BA" w:rsidRDefault="006823BA" w:rsidP="00357899"/>
        </w:tc>
        <w:tc>
          <w:tcPr>
            <w:tcW w:w="1864" w:type="dxa"/>
          </w:tcPr>
          <w:p w:rsidR="006823BA" w:rsidRDefault="006823BA" w:rsidP="00357899"/>
        </w:tc>
      </w:tr>
      <w:tr w:rsidR="006823BA" w:rsidTr="006823BA">
        <w:tc>
          <w:tcPr>
            <w:tcW w:w="3652" w:type="dxa"/>
          </w:tcPr>
          <w:p w:rsidR="006823BA" w:rsidRDefault="006823BA" w:rsidP="00357899">
            <w:r>
              <w:t>Any other ethnic group</w:t>
            </w:r>
          </w:p>
        </w:tc>
        <w:tc>
          <w:tcPr>
            <w:tcW w:w="1863" w:type="dxa"/>
          </w:tcPr>
          <w:p w:rsidR="006823BA" w:rsidRDefault="006823BA" w:rsidP="00357899"/>
        </w:tc>
        <w:tc>
          <w:tcPr>
            <w:tcW w:w="1863" w:type="dxa"/>
          </w:tcPr>
          <w:p w:rsidR="006823BA" w:rsidRDefault="006823BA" w:rsidP="00357899"/>
        </w:tc>
        <w:tc>
          <w:tcPr>
            <w:tcW w:w="1864" w:type="dxa"/>
          </w:tcPr>
          <w:p w:rsidR="006823BA" w:rsidRDefault="006823BA" w:rsidP="00357899"/>
        </w:tc>
      </w:tr>
      <w:tr w:rsidR="006823BA" w:rsidTr="006823BA">
        <w:tc>
          <w:tcPr>
            <w:tcW w:w="3652" w:type="dxa"/>
          </w:tcPr>
          <w:p w:rsidR="006823BA" w:rsidRDefault="006823BA" w:rsidP="00357899">
            <w:r>
              <w:t>Ethnicity refused / not obtained</w:t>
            </w:r>
          </w:p>
        </w:tc>
        <w:tc>
          <w:tcPr>
            <w:tcW w:w="1863" w:type="dxa"/>
          </w:tcPr>
          <w:p w:rsidR="006823BA" w:rsidRDefault="006823BA" w:rsidP="00357899"/>
        </w:tc>
        <w:tc>
          <w:tcPr>
            <w:tcW w:w="1863" w:type="dxa"/>
          </w:tcPr>
          <w:p w:rsidR="006823BA" w:rsidRDefault="006823BA" w:rsidP="00357899"/>
        </w:tc>
        <w:tc>
          <w:tcPr>
            <w:tcW w:w="1864" w:type="dxa"/>
          </w:tcPr>
          <w:p w:rsidR="006823BA" w:rsidRDefault="006823BA" w:rsidP="00357899"/>
        </w:tc>
      </w:tr>
      <w:tr w:rsidR="006823BA" w:rsidTr="006823BA">
        <w:tc>
          <w:tcPr>
            <w:tcW w:w="3652" w:type="dxa"/>
          </w:tcPr>
          <w:p w:rsidR="006823BA" w:rsidRDefault="006823BA" w:rsidP="00357899">
            <w:r>
              <w:t>Female</w:t>
            </w:r>
          </w:p>
        </w:tc>
        <w:tc>
          <w:tcPr>
            <w:tcW w:w="1863" w:type="dxa"/>
          </w:tcPr>
          <w:p w:rsidR="006823BA" w:rsidRDefault="006823BA" w:rsidP="00357899"/>
        </w:tc>
        <w:tc>
          <w:tcPr>
            <w:tcW w:w="1863" w:type="dxa"/>
          </w:tcPr>
          <w:p w:rsidR="006823BA" w:rsidRDefault="006823BA" w:rsidP="00357899"/>
        </w:tc>
        <w:tc>
          <w:tcPr>
            <w:tcW w:w="1864" w:type="dxa"/>
          </w:tcPr>
          <w:p w:rsidR="006823BA" w:rsidRDefault="006823BA" w:rsidP="00357899"/>
        </w:tc>
      </w:tr>
      <w:tr w:rsidR="006823BA" w:rsidTr="006823BA">
        <w:tc>
          <w:tcPr>
            <w:tcW w:w="3652" w:type="dxa"/>
          </w:tcPr>
          <w:p w:rsidR="006823BA" w:rsidRDefault="006823BA" w:rsidP="00357899">
            <w:r>
              <w:t>Male</w:t>
            </w:r>
          </w:p>
        </w:tc>
        <w:tc>
          <w:tcPr>
            <w:tcW w:w="1863" w:type="dxa"/>
          </w:tcPr>
          <w:p w:rsidR="006823BA" w:rsidRDefault="006823BA" w:rsidP="00357899"/>
        </w:tc>
        <w:tc>
          <w:tcPr>
            <w:tcW w:w="1863" w:type="dxa"/>
          </w:tcPr>
          <w:p w:rsidR="006823BA" w:rsidRDefault="006823BA" w:rsidP="00357899"/>
        </w:tc>
        <w:tc>
          <w:tcPr>
            <w:tcW w:w="1864" w:type="dxa"/>
          </w:tcPr>
          <w:p w:rsidR="006823BA" w:rsidRDefault="006823BA" w:rsidP="00357899"/>
        </w:tc>
      </w:tr>
      <w:tr w:rsidR="006823BA" w:rsidTr="006823BA">
        <w:tc>
          <w:tcPr>
            <w:tcW w:w="3652" w:type="dxa"/>
          </w:tcPr>
          <w:p w:rsidR="006823BA" w:rsidRDefault="006823BA" w:rsidP="00357899">
            <w:r>
              <w:t>Aged under 25</w:t>
            </w:r>
          </w:p>
        </w:tc>
        <w:tc>
          <w:tcPr>
            <w:tcW w:w="1863" w:type="dxa"/>
          </w:tcPr>
          <w:p w:rsidR="006823BA" w:rsidRDefault="006823BA" w:rsidP="00357899"/>
        </w:tc>
        <w:tc>
          <w:tcPr>
            <w:tcW w:w="1863" w:type="dxa"/>
          </w:tcPr>
          <w:p w:rsidR="006823BA" w:rsidRDefault="006823BA" w:rsidP="00357899"/>
        </w:tc>
        <w:tc>
          <w:tcPr>
            <w:tcW w:w="1864" w:type="dxa"/>
          </w:tcPr>
          <w:p w:rsidR="006823BA" w:rsidRDefault="006823BA" w:rsidP="00357899"/>
        </w:tc>
      </w:tr>
      <w:tr w:rsidR="006823BA" w:rsidTr="006823BA">
        <w:tc>
          <w:tcPr>
            <w:tcW w:w="3652" w:type="dxa"/>
          </w:tcPr>
          <w:p w:rsidR="006823BA" w:rsidRDefault="006823BA" w:rsidP="00357899">
            <w:r>
              <w:t>Aged 25 – 29</w:t>
            </w:r>
          </w:p>
        </w:tc>
        <w:tc>
          <w:tcPr>
            <w:tcW w:w="1863" w:type="dxa"/>
          </w:tcPr>
          <w:p w:rsidR="006823BA" w:rsidRDefault="006823BA" w:rsidP="00357899"/>
        </w:tc>
        <w:tc>
          <w:tcPr>
            <w:tcW w:w="1863" w:type="dxa"/>
          </w:tcPr>
          <w:p w:rsidR="006823BA" w:rsidRDefault="006823BA" w:rsidP="00357899"/>
        </w:tc>
        <w:tc>
          <w:tcPr>
            <w:tcW w:w="1864" w:type="dxa"/>
          </w:tcPr>
          <w:p w:rsidR="006823BA" w:rsidRDefault="006823BA" w:rsidP="00357899"/>
        </w:tc>
      </w:tr>
      <w:tr w:rsidR="006823BA" w:rsidTr="006823BA">
        <w:tc>
          <w:tcPr>
            <w:tcW w:w="3652" w:type="dxa"/>
          </w:tcPr>
          <w:p w:rsidR="006823BA" w:rsidRDefault="006823BA" w:rsidP="00357899">
            <w:r>
              <w:t>Aged 30 – 34</w:t>
            </w:r>
          </w:p>
        </w:tc>
        <w:tc>
          <w:tcPr>
            <w:tcW w:w="1863" w:type="dxa"/>
          </w:tcPr>
          <w:p w:rsidR="006823BA" w:rsidRDefault="006823BA" w:rsidP="00357899"/>
        </w:tc>
        <w:tc>
          <w:tcPr>
            <w:tcW w:w="1863" w:type="dxa"/>
          </w:tcPr>
          <w:p w:rsidR="006823BA" w:rsidRDefault="006823BA" w:rsidP="00357899"/>
        </w:tc>
        <w:tc>
          <w:tcPr>
            <w:tcW w:w="1864" w:type="dxa"/>
          </w:tcPr>
          <w:p w:rsidR="006823BA" w:rsidRDefault="006823BA" w:rsidP="00357899"/>
        </w:tc>
      </w:tr>
      <w:tr w:rsidR="006823BA" w:rsidTr="006823BA">
        <w:tc>
          <w:tcPr>
            <w:tcW w:w="3652" w:type="dxa"/>
          </w:tcPr>
          <w:p w:rsidR="006823BA" w:rsidRDefault="006823BA" w:rsidP="00357899">
            <w:r>
              <w:t>Aged 35 – 39</w:t>
            </w:r>
          </w:p>
        </w:tc>
        <w:tc>
          <w:tcPr>
            <w:tcW w:w="1863" w:type="dxa"/>
          </w:tcPr>
          <w:p w:rsidR="006823BA" w:rsidRDefault="006823BA" w:rsidP="00357899"/>
        </w:tc>
        <w:tc>
          <w:tcPr>
            <w:tcW w:w="1863" w:type="dxa"/>
          </w:tcPr>
          <w:p w:rsidR="006823BA" w:rsidRDefault="006823BA" w:rsidP="00357899"/>
        </w:tc>
        <w:tc>
          <w:tcPr>
            <w:tcW w:w="1864" w:type="dxa"/>
          </w:tcPr>
          <w:p w:rsidR="006823BA" w:rsidRDefault="006823BA" w:rsidP="00357899"/>
        </w:tc>
      </w:tr>
      <w:tr w:rsidR="006823BA" w:rsidTr="006823BA">
        <w:tc>
          <w:tcPr>
            <w:tcW w:w="3652" w:type="dxa"/>
          </w:tcPr>
          <w:p w:rsidR="006823BA" w:rsidRDefault="006823BA" w:rsidP="00357899">
            <w:r>
              <w:t>Aged 40 – 44</w:t>
            </w:r>
          </w:p>
        </w:tc>
        <w:tc>
          <w:tcPr>
            <w:tcW w:w="1863" w:type="dxa"/>
          </w:tcPr>
          <w:p w:rsidR="006823BA" w:rsidRDefault="006823BA" w:rsidP="00357899"/>
        </w:tc>
        <w:tc>
          <w:tcPr>
            <w:tcW w:w="1863" w:type="dxa"/>
          </w:tcPr>
          <w:p w:rsidR="006823BA" w:rsidRDefault="006823BA" w:rsidP="00357899"/>
        </w:tc>
        <w:tc>
          <w:tcPr>
            <w:tcW w:w="1864" w:type="dxa"/>
          </w:tcPr>
          <w:p w:rsidR="006823BA" w:rsidRDefault="006823BA" w:rsidP="00357899"/>
        </w:tc>
      </w:tr>
      <w:tr w:rsidR="006823BA" w:rsidTr="006823BA">
        <w:tc>
          <w:tcPr>
            <w:tcW w:w="3652" w:type="dxa"/>
          </w:tcPr>
          <w:p w:rsidR="006823BA" w:rsidRDefault="006823BA" w:rsidP="00357899">
            <w:r>
              <w:t>Aged 45 – 49</w:t>
            </w:r>
          </w:p>
        </w:tc>
        <w:tc>
          <w:tcPr>
            <w:tcW w:w="1863" w:type="dxa"/>
          </w:tcPr>
          <w:p w:rsidR="006823BA" w:rsidRDefault="006823BA" w:rsidP="00357899"/>
        </w:tc>
        <w:tc>
          <w:tcPr>
            <w:tcW w:w="1863" w:type="dxa"/>
          </w:tcPr>
          <w:p w:rsidR="006823BA" w:rsidRDefault="006823BA" w:rsidP="00357899"/>
        </w:tc>
        <w:tc>
          <w:tcPr>
            <w:tcW w:w="1864" w:type="dxa"/>
          </w:tcPr>
          <w:p w:rsidR="006823BA" w:rsidRDefault="006823BA" w:rsidP="00357899"/>
        </w:tc>
      </w:tr>
      <w:tr w:rsidR="006823BA" w:rsidTr="006823BA">
        <w:tc>
          <w:tcPr>
            <w:tcW w:w="3652" w:type="dxa"/>
          </w:tcPr>
          <w:p w:rsidR="006823BA" w:rsidRDefault="006823BA" w:rsidP="00357899">
            <w:r>
              <w:t>Aged 50 – 54</w:t>
            </w:r>
          </w:p>
        </w:tc>
        <w:tc>
          <w:tcPr>
            <w:tcW w:w="1863" w:type="dxa"/>
          </w:tcPr>
          <w:p w:rsidR="006823BA" w:rsidRDefault="006823BA" w:rsidP="00357899"/>
        </w:tc>
        <w:tc>
          <w:tcPr>
            <w:tcW w:w="1863" w:type="dxa"/>
          </w:tcPr>
          <w:p w:rsidR="006823BA" w:rsidRDefault="006823BA" w:rsidP="00357899"/>
        </w:tc>
        <w:tc>
          <w:tcPr>
            <w:tcW w:w="1864" w:type="dxa"/>
          </w:tcPr>
          <w:p w:rsidR="006823BA" w:rsidRDefault="006823BA" w:rsidP="00357899"/>
        </w:tc>
      </w:tr>
      <w:tr w:rsidR="006823BA" w:rsidTr="006823BA">
        <w:tc>
          <w:tcPr>
            <w:tcW w:w="3652" w:type="dxa"/>
          </w:tcPr>
          <w:p w:rsidR="006823BA" w:rsidRDefault="006823BA" w:rsidP="00357899">
            <w:r>
              <w:t>Aged 55 – 59</w:t>
            </w:r>
          </w:p>
        </w:tc>
        <w:tc>
          <w:tcPr>
            <w:tcW w:w="1863" w:type="dxa"/>
          </w:tcPr>
          <w:p w:rsidR="006823BA" w:rsidRDefault="006823BA" w:rsidP="00357899"/>
        </w:tc>
        <w:tc>
          <w:tcPr>
            <w:tcW w:w="1863" w:type="dxa"/>
          </w:tcPr>
          <w:p w:rsidR="006823BA" w:rsidRDefault="006823BA" w:rsidP="00357899"/>
        </w:tc>
        <w:tc>
          <w:tcPr>
            <w:tcW w:w="1864" w:type="dxa"/>
          </w:tcPr>
          <w:p w:rsidR="006823BA" w:rsidRDefault="006823BA" w:rsidP="00357899"/>
        </w:tc>
      </w:tr>
      <w:tr w:rsidR="006823BA" w:rsidTr="006823BA">
        <w:tc>
          <w:tcPr>
            <w:tcW w:w="3652" w:type="dxa"/>
          </w:tcPr>
          <w:p w:rsidR="006823BA" w:rsidRDefault="006823BA" w:rsidP="00357899">
            <w:r>
              <w:t>Aged 60 +</w:t>
            </w:r>
          </w:p>
        </w:tc>
        <w:tc>
          <w:tcPr>
            <w:tcW w:w="1863" w:type="dxa"/>
          </w:tcPr>
          <w:p w:rsidR="006823BA" w:rsidRDefault="006823BA" w:rsidP="00357899"/>
        </w:tc>
        <w:tc>
          <w:tcPr>
            <w:tcW w:w="1863" w:type="dxa"/>
          </w:tcPr>
          <w:p w:rsidR="006823BA" w:rsidRDefault="006823BA" w:rsidP="00357899"/>
        </w:tc>
        <w:tc>
          <w:tcPr>
            <w:tcW w:w="1864" w:type="dxa"/>
          </w:tcPr>
          <w:p w:rsidR="006823BA" w:rsidRDefault="006823BA" w:rsidP="00357899"/>
        </w:tc>
      </w:tr>
      <w:tr w:rsidR="006823BA" w:rsidTr="006823BA">
        <w:tc>
          <w:tcPr>
            <w:tcW w:w="3652" w:type="dxa"/>
          </w:tcPr>
          <w:p w:rsidR="006823BA" w:rsidRDefault="006823BA" w:rsidP="00357899">
            <w:r>
              <w:t>Declared a disability</w:t>
            </w:r>
          </w:p>
        </w:tc>
        <w:tc>
          <w:tcPr>
            <w:tcW w:w="1863" w:type="dxa"/>
          </w:tcPr>
          <w:p w:rsidR="006823BA" w:rsidRDefault="006823BA" w:rsidP="00357899"/>
        </w:tc>
        <w:tc>
          <w:tcPr>
            <w:tcW w:w="1863" w:type="dxa"/>
          </w:tcPr>
          <w:p w:rsidR="006823BA" w:rsidRDefault="006823BA" w:rsidP="00357899"/>
        </w:tc>
        <w:tc>
          <w:tcPr>
            <w:tcW w:w="1864" w:type="dxa"/>
          </w:tcPr>
          <w:p w:rsidR="006823BA" w:rsidRDefault="006823BA" w:rsidP="00357899"/>
        </w:tc>
      </w:tr>
    </w:tbl>
    <w:p w:rsidR="00142E4F" w:rsidRPr="00142E4F" w:rsidRDefault="00142E4F" w:rsidP="00357899"/>
    <w:p w:rsidR="000E2244" w:rsidRDefault="000E2244" w:rsidP="00357899">
      <w:pPr>
        <w:rPr>
          <w:b/>
        </w:rPr>
      </w:pPr>
      <w:r>
        <w:rPr>
          <w:b/>
        </w:rPr>
        <w:t>Summary</w:t>
      </w:r>
      <w:r w:rsidR="002D24FE">
        <w:rPr>
          <w:b/>
        </w:rPr>
        <w:t xml:space="preserve"> and Recommendations</w:t>
      </w:r>
    </w:p>
    <w:p w:rsidR="000E2244" w:rsidRDefault="000E2244" w:rsidP="00357899">
      <w:proofErr w:type="gramStart"/>
      <w:r>
        <w:t>From the above [</w:t>
      </w:r>
      <w:r w:rsidRPr="00E26732">
        <w:rPr>
          <w:color w:val="365F91" w:themeColor="accent1" w:themeShade="BF"/>
        </w:rPr>
        <w:t>school to summarise</w:t>
      </w:r>
      <w:r w:rsidR="002D24FE" w:rsidRPr="00E26732">
        <w:rPr>
          <w:color w:val="365F91" w:themeColor="accent1" w:themeShade="BF"/>
        </w:rPr>
        <w:t xml:space="preserve"> key points</w:t>
      </w:r>
      <w:r w:rsidR="002D24FE">
        <w:t>].</w:t>
      </w:r>
      <w:proofErr w:type="gramEnd"/>
      <w:r w:rsidR="002D24FE">
        <w:t xml:space="preserve">  The following actions are recommended to facilitate continuing improvement:</w:t>
      </w:r>
    </w:p>
    <w:p w:rsidR="002D24FE" w:rsidRDefault="002D24FE" w:rsidP="002D24FE">
      <w:pPr>
        <w:pStyle w:val="ListParagraph"/>
        <w:numPr>
          <w:ilvl w:val="0"/>
          <w:numId w:val="3"/>
        </w:numPr>
      </w:pPr>
      <w:r>
        <w:t>[</w:t>
      </w:r>
      <w:r w:rsidRPr="00E26732">
        <w:rPr>
          <w:color w:val="365F91" w:themeColor="accent1" w:themeShade="BF"/>
        </w:rPr>
        <w:t>list</w:t>
      </w:r>
      <w:r>
        <w:t>]</w:t>
      </w:r>
    </w:p>
    <w:p w:rsidR="002D24FE" w:rsidRPr="002D24FE" w:rsidRDefault="002D24FE" w:rsidP="002D24FE">
      <w:pPr>
        <w:rPr>
          <w:b/>
        </w:rPr>
      </w:pPr>
    </w:p>
    <w:p w:rsidR="002D24FE" w:rsidRPr="002D24FE" w:rsidRDefault="002D24FE" w:rsidP="002D24FE">
      <w:pPr>
        <w:rPr>
          <w:b/>
        </w:rPr>
      </w:pPr>
      <w:r>
        <w:rPr>
          <w:b/>
        </w:rPr>
        <w:t>[</w:t>
      </w:r>
      <w:r w:rsidRPr="002D24FE">
        <w:rPr>
          <w:b/>
        </w:rPr>
        <w:t>Name</w:t>
      </w:r>
      <w:r>
        <w:rPr>
          <w:b/>
        </w:rPr>
        <w:t xml:space="preserve">], </w:t>
      </w:r>
      <w:r w:rsidRPr="002D24FE">
        <w:rPr>
          <w:b/>
        </w:rPr>
        <w:t>Head Teacher</w:t>
      </w:r>
    </w:p>
    <w:sectPr w:rsidR="002D24FE" w:rsidRPr="002D24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473" w:rsidRDefault="00D46473" w:rsidP="00D46473">
      <w:pPr>
        <w:spacing w:after="0" w:line="240" w:lineRule="auto"/>
      </w:pPr>
      <w:r>
        <w:separator/>
      </w:r>
    </w:p>
  </w:endnote>
  <w:endnote w:type="continuationSeparator" w:id="0">
    <w:p w:rsidR="00D46473" w:rsidRDefault="00D46473" w:rsidP="00D46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473" w:rsidRDefault="00D46473" w:rsidP="00D46473">
      <w:pPr>
        <w:spacing w:after="0" w:line="240" w:lineRule="auto"/>
      </w:pPr>
      <w:r>
        <w:separator/>
      </w:r>
    </w:p>
  </w:footnote>
  <w:footnote w:type="continuationSeparator" w:id="0">
    <w:p w:rsidR="00D46473" w:rsidRDefault="00D46473" w:rsidP="00D464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85D53"/>
    <w:multiLevelType w:val="hybridMultilevel"/>
    <w:tmpl w:val="F8BAC05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CE63F27"/>
    <w:multiLevelType w:val="hybridMultilevel"/>
    <w:tmpl w:val="E8C20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7446194"/>
    <w:multiLevelType w:val="hybridMultilevel"/>
    <w:tmpl w:val="F8BAC05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47C"/>
    <w:rsid w:val="000E2244"/>
    <w:rsid w:val="00142E4F"/>
    <w:rsid w:val="00181395"/>
    <w:rsid w:val="001B5395"/>
    <w:rsid w:val="001F1E44"/>
    <w:rsid w:val="00207AF7"/>
    <w:rsid w:val="00210424"/>
    <w:rsid w:val="0027179C"/>
    <w:rsid w:val="002D24FE"/>
    <w:rsid w:val="002E0378"/>
    <w:rsid w:val="00350E5F"/>
    <w:rsid w:val="00357899"/>
    <w:rsid w:val="003579AD"/>
    <w:rsid w:val="003C6794"/>
    <w:rsid w:val="003D79A7"/>
    <w:rsid w:val="003F4A74"/>
    <w:rsid w:val="00401321"/>
    <w:rsid w:val="004039D4"/>
    <w:rsid w:val="00585884"/>
    <w:rsid w:val="005C28B2"/>
    <w:rsid w:val="005F2020"/>
    <w:rsid w:val="006823BA"/>
    <w:rsid w:val="006C0B70"/>
    <w:rsid w:val="006D0055"/>
    <w:rsid w:val="007A2DC0"/>
    <w:rsid w:val="00804B2E"/>
    <w:rsid w:val="00892FF9"/>
    <w:rsid w:val="009326B6"/>
    <w:rsid w:val="009557F6"/>
    <w:rsid w:val="009A0EB8"/>
    <w:rsid w:val="009F2ECD"/>
    <w:rsid w:val="00BA063F"/>
    <w:rsid w:val="00C178EB"/>
    <w:rsid w:val="00D1366E"/>
    <w:rsid w:val="00D46473"/>
    <w:rsid w:val="00D7762B"/>
    <w:rsid w:val="00D90D12"/>
    <w:rsid w:val="00E2347C"/>
    <w:rsid w:val="00E26732"/>
    <w:rsid w:val="00F14270"/>
    <w:rsid w:val="00FF4C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FF9"/>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6B6"/>
    <w:pPr>
      <w:ind w:left="720"/>
      <w:contextualSpacing/>
    </w:pPr>
  </w:style>
  <w:style w:type="table" w:styleId="TableGrid">
    <w:name w:val="Table Grid"/>
    <w:basedOn w:val="TableNormal"/>
    <w:uiPriority w:val="59"/>
    <w:rsid w:val="00932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64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6473"/>
    <w:rPr>
      <w:rFonts w:ascii="Arial" w:hAnsi="Arial"/>
      <w:sz w:val="24"/>
    </w:rPr>
  </w:style>
  <w:style w:type="paragraph" w:styleId="Footer">
    <w:name w:val="footer"/>
    <w:basedOn w:val="Normal"/>
    <w:link w:val="FooterChar"/>
    <w:uiPriority w:val="99"/>
    <w:unhideWhenUsed/>
    <w:rsid w:val="00D464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6473"/>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FF9"/>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6B6"/>
    <w:pPr>
      <w:ind w:left="720"/>
      <w:contextualSpacing/>
    </w:pPr>
  </w:style>
  <w:style w:type="table" w:styleId="TableGrid">
    <w:name w:val="Table Grid"/>
    <w:basedOn w:val="TableNormal"/>
    <w:uiPriority w:val="59"/>
    <w:rsid w:val="00932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64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6473"/>
    <w:rPr>
      <w:rFonts w:ascii="Arial" w:hAnsi="Arial"/>
      <w:sz w:val="24"/>
    </w:rPr>
  </w:style>
  <w:style w:type="paragraph" w:styleId="Footer">
    <w:name w:val="footer"/>
    <w:basedOn w:val="Normal"/>
    <w:link w:val="FooterChar"/>
    <w:uiPriority w:val="99"/>
    <w:unhideWhenUsed/>
    <w:rsid w:val="00D464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647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6823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Chow, Julie</dc:creator>
  <cp:lastModifiedBy>Chow, Julie</cp:lastModifiedBy>
  <cp:revision>5</cp:revision>
  <dcterms:created xsi:type="dcterms:W3CDTF">2016-06-01T15:48:00Z</dcterms:created>
  <dcterms:modified xsi:type="dcterms:W3CDTF">2016-06-07T12:34:00Z</dcterms:modified>
</cp:coreProperties>
</file>