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0718" w:rsidP="00D30718" w:rsidRDefault="00815073" w14:paraId="4A6D3C79" w14:textId="5B1F78F9">
      <w:pPr>
        <w:pStyle w:val="Default"/>
        <w:jc w:val="center"/>
        <w:rPr>
          <w:rFonts w:cstheme="minorBidi"/>
          <w:color w:val="auto"/>
          <w:sz w:val="55"/>
          <w:szCs w:val="55"/>
        </w:rPr>
      </w:pPr>
      <w:r>
        <w:rPr>
          <w:rFonts w:cstheme="minorBidi"/>
          <w:color w:val="auto"/>
          <w:sz w:val="55"/>
          <w:szCs w:val="55"/>
        </w:rPr>
        <w:t>Southwark SEND S</w:t>
      </w:r>
      <w:r w:rsidR="00D30718">
        <w:rPr>
          <w:rFonts w:cstheme="minorBidi"/>
          <w:color w:val="auto"/>
          <w:sz w:val="55"/>
          <w:szCs w:val="55"/>
        </w:rPr>
        <w:t>tandards</w:t>
      </w:r>
    </w:p>
    <w:p w:rsidR="00615E7E" w:rsidP="00D30718" w:rsidRDefault="00615E7E" w14:paraId="6170C0B9" w14:textId="2C7CF21F">
      <w:pPr>
        <w:pStyle w:val="Default"/>
        <w:jc w:val="center"/>
        <w:rPr>
          <w:rFonts w:cstheme="minorBidi"/>
          <w:color w:val="auto"/>
          <w:sz w:val="55"/>
          <w:szCs w:val="55"/>
        </w:rPr>
      </w:pPr>
      <w:r>
        <w:rPr>
          <w:rFonts w:cstheme="minorBidi"/>
          <w:color w:val="auto"/>
          <w:sz w:val="55"/>
          <w:szCs w:val="55"/>
        </w:rPr>
        <w:t>School Self- Assessment Tool</w:t>
      </w:r>
    </w:p>
    <w:p w:rsidRPr="00D30718" w:rsidR="00D30718" w:rsidP="594112F5" w:rsidRDefault="00D30718" w14:paraId="5BB5C6F8" w14:textId="32EA8960">
      <w:pPr>
        <w:pStyle w:val="Default"/>
        <w:jc w:val="center"/>
        <w:rPr>
          <w:rFonts w:cs="" w:cstheme="minorBidi"/>
          <w:color w:val="auto"/>
          <w:sz w:val="32"/>
          <w:szCs w:val="32"/>
        </w:rPr>
      </w:pPr>
      <w:r w:rsidRPr="594112F5" w:rsidR="00D30718">
        <w:rPr>
          <w:rFonts w:cs="" w:cstheme="minorBidi"/>
          <w:color w:val="auto"/>
          <w:sz w:val="32"/>
          <w:szCs w:val="32"/>
        </w:rPr>
        <w:t xml:space="preserve">For provision in mainstream </w:t>
      </w:r>
      <w:r w:rsidRPr="594112F5" w:rsidR="5E44830D">
        <w:rPr>
          <w:rFonts w:cs="" w:cstheme="minorBidi"/>
          <w:color w:val="auto"/>
          <w:sz w:val="32"/>
          <w:szCs w:val="32"/>
        </w:rPr>
        <w:t xml:space="preserve">primary </w:t>
      </w:r>
      <w:r w:rsidRPr="594112F5" w:rsidR="00D30718">
        <w:rPr>
          <w:rFonts w:cs="" w:cstheme="minorBidi"/>
          <w:color w:val="auto"/>
          <w:sz w:val="32"/>
          <w:szCs w:val="32"/>
        </w:rPr>
        <w:t>schools</w:t>
      </w:r>
    </w:p>
    <w:p w:rsidR="00D30718" w:rsidP="00D30718" w:rsidRDefault="00D30718" w14:paraId="679F1034" w14:textId="77777777">
      <w:pPr>
        <w:pStyle w:val="Default"/>
        <w:rPr>
          <w:rFonts w:cstheme="minorBidi"/>
          <w:color w:val="auto"/>
          <w:sz w:val="19"/>
          <w:szCs w:val="19"/>
        </w:rPr>
      </w:pPr>
    </w:p>
    <w:p w:rsidR="00D30718" w:rsidP="00D30718" w:rsidRDefault="00D30718" w14:paraId="5C3D7B3F" w14:textId="77777777">
      <w:pPr>
        <w:pStyle w:val="Default"/>
        <w:rPr>
          <w:rFonts w:cstheme="minorBidi"/>
          <w:color w:val="auto"/>
          <w:sz w:val="19"/>
          <w:szCs w:val="19"/>
        </w:rPr>
      </w:pPr>
    </w:p>
    <w:p w:rsidRPr="00F05CAC" w:rsidR="00D30718" w:rsidP="00D30718" w:rsidRDefault="00D30718" w14:paraId="3DAE105B" w14:textId="7940E1E0">
      <w:pPr>
        <w:pStyle w:val="1bodycopy"/>
        <w:rPr>
          <w:lang w:val="en-GB"/>
        </w:rPr>
      </w:pPr>
      <w:r>
        <w:rPr>
          <w:lang w:val="en-GB"/>
        </w:rPr>
        <w:t xml:space="preserve">This document </w:t>
      </w:r>
      <w:r w:rsidRPr="00F05CAC">
        <w:rPr>
          <w:lang w:val="en-GB"/>
        </w:rPr>
        <w:t xml:space="preserve">is designed to help you audit your provision for pupils with SEND. </w:t>
      </w:r>
      <w:r>
        <w:rPr>
          <w:lang w:val="en-GB"/>
        </w:rPr>
        <w:t>It should be used alongside the Southwark LA SEND Guidance for Schools 2023, which sets out the provision that the local authority expects all educational settings to make to ensure that all learners make progress</w:t>
      </w:r>
      <w:r w:rsidR="003D23C1">
        <w:rPr>
          <w:lang w:val="en-GB"/>
        </w:rPr>
        <w:t>. Further information on how to use this tool can be found in Appendix 1 at the end of this document.</w:t>
      </w:r>
    </w:p>
    <w:p w:rsidRPr="00F05CAC" w:rsidR="00D30718" w:rsidP="00D30718" w:rsidRDefault="00D30718" w14:paraId="59B63F2F" w14:textId="77777777">
      <w:pPr>
        <w:pStyle w:val="1bodycopy"/>
        <w:rPr>
          <w:lang w:val="en-GB"/>
        </w:rPr>
      </w:pPr>
      <w:r w:rsidRPr="00F05CAC">
        <w:rPr>
          <w:lang w:val="en-GB"/>
        </w:rPr>
        <w:t xml:space="preserve">We’ve indicated whether each question is: </w:t>
      </w:r>
    </w:p>
    <w:p w:rsidRPr="00F05CAC" w:rsidR="00D30718" w:rsidP="25C35E93" w:rsidRDefault="00D30718" w14:paraId="3FA2DCE5" w14:textId="77777777">
      <w:pPr>
        <w:pStyle w:val="3Bulletedcopyblue"/>
        <w:spacing w:after="0"/>
        <w:rPr>
          <w:lang w:val="en-GB"/>
        </w:rPr>
      </w:pPr>
      <w:r w:rsidRPr="25C35E93">
        <w:rPr>
          <w:b/>
          <w:bCs/>
          <w:lang w:val="en-GB"/>
        </w:rPr>
        <w:t xml:space="preserve">Statutory: </w:t>
      </w:r>
      <w:r w:rsidRPr="25C35E93">
        <w:rPr>
          <w:lang w:val="en-GB"/>
        </w:rPr>
        <w:t xml:space="preserve">something you must do, according to the </w:t>
      </w:r>
      <w:hyperlink r:id="rId10">
        <w:r w:rsidRPr="25C35E93">
          <w:rPr>
            <w:rStyle w:val="Hyperlink"/>
            <w:lang w:val="en-GB"/>
          </w:rPr>
          <w:t>SEND Code of Practice</w:t>
        </w:r>
      </w:hyperlink>
      <w:r w:rsidRPr="25C35E93">
        <w:rPr>
          <w:lang w:val="en-GB"/>
        </w:rPr>
        <w:t xml:space="preserve"> </w:t>
      </w:r>
    </w:p>
    <w:p w:rsidRPr="00F05CAC" w:rsidR="00D30718" w:rsidP="25C35E93" w:rsidRDefault="00D30718" w14:paraId="66010977" w14:textId="77777777">
      <w:pPr>
        <w:pStyle w:val="3Bulletedcopyblue"/>
        <w:spacing w:after="0"/>
        <w:rPr>
          <w:lang w:val="en-GB"/>
        </w:rPr>
      </w:pPr>
      <w:r w:rsidRPr="25C35E93">
        <w:rPr>
          <w:b/>
          <w:bCs/>
          <w:lang w:val="en-GB"/>
        </w:rPr>
        <w:t xml:space="preserve">Strongly recommended: </w:t>
      </w:r>
      <w:r w:rsidRPr="25C35E93">
        <w:rPr>
          <w:lang w:val="en-GB"/>
        </w:rPr>
        <w:t xml:space="preserve">something you should do, according to the SEND Code of Practice </w:t>
      </w:r>
    </w:p>
    <w:p w:rsidR="00D30718" w:rsidP="25C35E93" w:rsidRDefault="00D30718" w14:paraId="50D516FC" w14:textId="4A6234AE">
      <w:pPr>
        <w:pStyle w:val="3Bulletedcopyblue"/>
        <w:spacing w:after="0"/>
        <w:rPr>
          <w:lang w:val="en-GB"/>
        </w:rPr>
      </w:pPr>
      <w:r w:rsidRPr="25C35E93">
        <w:rPr>
          <w:b/>
          <w:bCs/>
          <w:lang w:val="en-GB"/>
        </w:rPr>
        <w:t xml:space="preserve">Best practice: </w:t>
      </w:r>
      <w:r w:rsidRPr="25C35E93">
        <w:rPr>
          <w:lang w:val="en-GB"/>
        </w:rPr>
        <w:t>something</w:t>
      </w:r>
      <w:r w:rsidRPr="25C35E93" w:rsidR="005A7E0C">
        <w:rPr>
          <w:lang w:val="en-GB"/>
        </w:rPr>
        <w:t xml:space="preserve"> our SEND Adviser and SEND Consultants recommend</w:t>
      </w:r>
      <w:r w:rsidRPr="25C35E93">
        <w:rPr>
          <w:lang w:val="en-GB"/>
        </w:rPr>
        <w:t xml:space="preserve"> you should do </w:t>
      </w:r>
    </w:p>
    <w:p w:rsidR="00815073" w:rsidP="00815073" w:rsidRDefault="00815073" w14:paraId="348BCF7A" w14:textId="7392ABEB">
      <w:pPr>
        <w:pStyle w:val="3Bulletedcopyblue"/>
        <w:ind w:left="340" w:hanging="170"/>
        <w:rPr>
          <w:lang w:val="en-GB"/>
        </w:rPr>
      </w:pPr>
    </w:p>
    <w:p w:rsidR="00815073" w:rsidP="00815073" w:rsidRDefault="00815073" w14:paraId="1F536CEF" w14:textId="108DEE59">
      <w:pPr>
        <w:rPr>
          <w:rFonts w:eastAsia="Calibri" w:cs="Arial"/>
          <w:sz w:val="20"/>
          <w:szCs w:val="20"/>
        </w:rPr>
      </w:pPr>
      <w:r w:rsidRPr="25C35E93">
        <w:rPr>
          <w:rFonts w:eastAsia="Calibri" w:cs="Arial"/>
          <w:b/>
          <w:bCs/>
          <w:sz w:val="20"/>
          <w:szCs w:val="20"/>
        </w:rPr>
        <w:t>Rating and identifying the current position</w:t>
      </w:r>
      <w:r w:rsidRPr="25C35E93" w:rsidR="3F5FA717">
        <w:rPr>
          <w:rFonts w:eastAsia="Calibri" w:cs="Arial"/>
          <w:b/>
          <w:bCs/>
          <w:sz w:val="20"/>
          <w:szCs w:val="20"/>
        </w:rPr>
        <w:t xml:space="preserve">: </w:t>
      </w:r>
      <w:r w:rsidRPr="25C35E93">
        <w:rPr>
          <w:rFonts w:eastAsia="Calibri" w:cs="Arial"/>
          <w:sz w:val="20"/>
          <w:szCs w:val="20"/>
        </w:rPr>
        <w:t xml:space="preserve">The continuum below provides a structure to identify your current position in relation to the </w:t>
      </w:r>
      <w:r w:rsidRPr="25C35E93">
        <w:rPr>
          <w:rFonts w:eastAsia="Calibri" w:cs="Arial"/>
          <w:b/>
          <w:bCs/>
          <w:sz w:val="20"/>
          <w:szCs w:val="20"/>
        </w:rPr>
        <w:t>5 Southwark SEND Standards</w:t>
      </w:r>
      <w:r w:rsidRPr="25C35E93" w:rsidR="00942192">
        <w:rPr>
          <w:rFonts w:eastAsia="Calibri" w:cs="Arial"/>
          <w:sz w:val="20"/>
          <w:szCs w:val="20"/>
        </w:rPr>
        <w:t xml:space="preserve">. </w:t>
      </w:r>
    </w:p>
    <w:p w:rsidRPr="00D2157C" w:rsidR="00942192" w:rsidP="6F36CA70" w:rsidRDefault="00942192" w14:paraId="5306B95A" w14:textId="0029C4A9">
      <w:pPr>
        <w:pStyle w:val="NoSpacing"/>
        <w:rPr>
          <w:b/>
          <w:bCs/>
          <w:sz w:val="20"/>
          <w:szCs w:val="20"/>
        </w:rPr>
      </w:pPr>
      <w:r w:rsidRPr="6F36CA70">
        <w:rPr>
          <w:b/>
          <w:bCs/>
          <w:sz w:val="20"/>
          <w:szCs w:val="20"/>
        </w:rPr>
        <w:t xml:space="preserve">Standard 1: </w:t>
      </w:r>
      <w:r w:rsidRPr="6F36CA70" w:rsidR="6E54B85A">
        <w:rPr>
          <w:b/>
          <w:bCs/>
          <w:sz w:val="20"/>
          <w:szCs w:val="20"/>
        </w:rPr>
        <w:t>An inclusive setting: providing a positive and supportive environment for all</w:t>
      </w:r>
    </w:p>
    <w:p w:rsidRPr="00D2157C" w:rsidR="00942192" w:rsidP="00942192" w:rsidRDefault="00942192" w14:paraId="309DAD4E" w14:textId="1206A344">
      <w:pPr>
        <w:pStyle w:val="NoSpacing"/>
        <w:rPr>
          <w:b/>
          <w:sz w:val="20"/>
          <w:szCs w:val="20"/>
        </w:rPr>
      </w:pPr>
      <w:r w:rsidRPr="00D2157C">
        <w:rPr>
          <w:b/>
          <w:sz w:val="20"/>
          <w:szCs w:val="20"/>
        </w:rPr>
        <w:t>Standard 2: Ensuring high quality teaching is accessible to all</w:t>
      </w:r>
    </w:p>
    <w:p w:rsidRPr="00D2157C" w:rsidR="00942192" w:rsidP="00942192" w:rsidRDefault="00942192" w14:paraId="225853F0" w14:textId="01BB518B">
      <w:pPr>
        <w:pStyle w:val="NoSpacing"/>
        <w:rPr>
          <w:b/>
          <w:sz w:val="20"/>
          <w:szCs w:val="20"/>
        </w:rPr>
      </w:pPr>
      <w:r w:rsidRPr="00D2157C">
        <w:rPr>
          <w:b/>
          <w:sz w:val="20"/>
          <w:szCs w:val="20"/>
        </w:rPr>
        <w:t xml:space="preserve">Standard 3: </w:t>
      </w:r>
      <w:r w:rsidRPr="00D2157C" w:rsidR="00D2157C">
        <w:rPr>
          <w:b/>
          <w:sz w:val="20"/>
          <w:szCs w:val="20"/>
        </w:rPr>
        <w:t>Building an ongoing and holistic understanding of need</w:t>
      </w:r>
    </w:p>
    <w:p w:rsidRPr="00D2157C" w:rsidR="00D2157C" w:rsidP="00942192" w:rsidRDefault="00D2157C" w14:paraId="0A33F846" w14:textId="5620BEEB">
      <w:pPr>
        <w:pStyle w:val="NoSpacing"/>
        <w:rPr>
          <w:b/>
          <w:sz w:val="20"/>
          <w:szCs w:val="20"/>
        </w:rPr>
      </w:pPr>
      <w:r w:rsidRPr="00D2157C">
        <w:rPr>
          <w:b/>
          <w:sz w:val="20"/>
          <w:szCs w:val="20"/>
        </w:rPr>
        <w:t>Standard 4: Use targeted support and interventions to supplement high quality teaching</w:t>
      </w:r>
    </w:p>
    <w:p w:rsidRPr="00D2157C" w:rsidR="00D2157C" w:rsidP="00942192" w:rsidRDefault="00D2157C" w14:paraId="41492991" w14:textId="1C05F6D9">
      <w:pPr>
        <w:pStyle w:val="NoSpacing"/>
        <w:rPr>
          <w:b/>
          <w:sz w:val="20"/>
          <w:szCs w:val="20"/>
        </w:rPr>
      </w:pPr>
      <w:r w:rsidRPr="00D2157C">
        <w:rPr>
          <w:b/>
          <w:sz w:val="20"/>
          <w:szCs w:val="20"/>
        </w:rPr>
        <w:t>Standard 5: Ensuring all schools know and follow the statutory requirements</w:t>
      </w:r>
    </w:p>
    <w:p w:rsidRPr="00815073" w:rsidR="00942192" w:rsidP="00815073" w:rsidRDefault="00942192" w14:paraId="46E9B026" w14:textId="77777777">
      <w:pPr>
        <w:rPr>
          <w:rFonts w:eastAsia="Calibri" w:cs="Arial"/>
          <w:sz w:val="20"/>
          <w:szCs w:val="20"/>
        </w:rPr>
      </w:pPr>
    </w:p>
    <w:p w:rsidRPr="00815073" w:rsidR="00EE03B4" w:rsidP="00EE03B4" w:rsidRDefault="00EE03B4" w14:paraId="22DDDFC2" w14:textId="77777777">
      <w:pPr>
        <w:pStyle w:val="ListParagraph"/>
        <w:widowControl/>
        <w:numPr>
          <w:ilvl w:val="0"/>
          <w:numId w:val="3"/>
        </w:numPr>
        <w:shd w:val="clear" w:color="auto" w:fill="92D050"/>
        <w:overflowPunct/>
        <w:autoSpaceDE/>
        <w:autoSpaceDN/>
        <w:adjustRightInd/>
        <w:spacing w:after="240" w:line="288" w:lineRule="auto"/>
        <w:textAlignment w:val="auto"/>
        <w:rPr>
          <w:rFonts w:cs="Arial"/>
          <w:b/>
          <w:bCs/>
          <w:sz w:val="20"/>
          <w:lang w:eastAsia="en-GB"/>
        </w:rPr>
      </w:pPr>
      <w:r w:rsidRPr="00815073">
        <w:rPr>
          <w:rFonts w:cs="Arial"/>
          <w:b/>
          <w:bCs/>
          <w:sz w:val="20"/>
          <w:lang w:eastAsia="en-GB"/>
        </w:rPr>
        <w:t xml:space="preserve">Sustaining: </w:t>
      </w:r>
      <w:r w:rsidRPr="00815073">
        <w:rPr>
          <w:rFonts w:cs="Arial"/>
          <w:sz w:val="20"/>
          <w:lang w:eastAsia="en-GB"/>
        </w:rPr>
        <w:t>Policies and practices are embedded</w:t>
      </w:r>
      <w:r>
        <w:rPr>
          <w:rFonts w:cs="Arial"/>
          <w:sz w:val="20"/>
          <w:lang w:eastAsia="en-GB"/>
        </w:rPr>
        <w:t xml:space="preserve"> and expectations are being met</w:t>
      </w:r>
      <w:r w:rsidRPr="00815073">
        <w:rPr>
          <w:rFonts w:cs="Arial"/>
          <w:sz w:val="20"/>
          <w:lang w:eastAsia="en-GB"/>
        </w:rPr>
        <w:t>. There is consisten</w:t>
      </w:r>
      <w:r>
        <w:rPr>
          <w:rFonts w:cs="Arial"/>
          <w:sz w:val="20"/>
          <w:lang w:eastAsia="en-GB"/>
        </w:rPr>
        <w:t>t best practice across the standard</w:t>
      </w:r>
    </w:p>
    <w:p w:rsidRPr="00815073" w:rsidR="00EE03B4" w:rsidP="00EE03B4" w:rsidRDefault="00EE03B4" w14:paraId="64E9F59B" w14:textId="77777777">
      <w:pPr>
        <w:pStyle w:val="ListParagraph"/>
        <w:widowControl/>
        <w:numPr>
          <w:ilvl w:val="0"/>
          <w:numId w:val="3"/>
        </w:numPr>
        <w:shd w:val="clear" w:color="auto" w:fill="FFFF00"/>
        <w:overflowPunct/>
        <w:autoSpaceDE/>
        <w:autoSpaceDN/>
        <w:adjustRightInd/>
        <w:spacing w:after="240" w:line="288" w:lineRule="auto"/>
        <w:textAlignment w:val="auto"/>
        <w:rPr>
          <w:rFonts w:cs="Arial"/>
          <w:b/>
          <w:bCs/>
          <w:sz w:val="20"/>
          <w:lang w:eastAsia="en-GB"/>
        </w:rPr>
      </w:pPr>
      <w:r w:rsidRPr="00815073">
        <w:rPr>
          <w:rFonts w:cs="Arial"/>
          <w:b/>
          <w:bCs/>
          <w:sz w:val="20"/>
          <w:lang w:eastAsia="en-GB"/>
        </w:rPr>
        <w:t xml:space="preserve">Implementing: </w:t>
      </w:r>
      <w:r w:rsidRPr="00815073">
        <w:rPr>
          <w:rFonts w:cs="Arial"/>
          <w:sz w:val="20"/>
          <w:lang w:eastAsia="en-GB"/>
        </w:rPr>
        <w:t>Leaders</w:t>
      </w:r>
      <w:r>
        <w:rPr>
          <w:rFonts w:cs="Arial"/>
          <w:sz w:val="20"/>
          <w:lang w:eastAsia="en-GB"/>
        </w:rPr>
        <w:t xml:space="preserve"> of SEND</w:t>
      </w:r>
      <w:r w:rsidRPr="00815073">
        <w:rPr>
          <w:rFonts w:cs="Arial"/>
          <w:sz w:val="20"/>
          <w:lang w:eastAsia="en-GB"/>
        </w:rPr>
        <w:t xml:space="preserve"> have begun to </w:t>
      </w:r>
      <w:r>
        <w:rPr>
          <w:rFonts w:cs="Arial"/>
          <w:sz w:val="20"/>
          <w:lang w:eastAsia="en-GB"/>
        </w:rPr>
        <w:t xml:space="preserve">implement </w:t>
      </w:r>
      <w:r w:rsidRPr="00815073">
        <w:rPr>
          <w:rFonts w:cs="Arial"/>
          <w:sz w:val="20"/>
          <w:lang w:eastAsia="en-GB"/>
        </w:rPr>
        <w:t>systems and practices for staff and stakeholders t</w:t>
      </w:r>
      <w:r>
        <w:rPr>
          <w:rFonts w:cs="Arial"/>
          <w:sz w:val="20"/>
          <w:lang w:eastAsia="en-GB"/>
        </w:rPr>
        <w:t>o meet the strands of this standard</w:t>
      </w:r>
      <w:r w:rsidRPr="00815073">
        <w:rPr>
          <w:rFonts w:cs="Arial"/>
          <w:sz w:val="20"/>
          <w:lang w:eastAsia="en-GB"/>
        </w:rPr>
        <w:t>.</w:t>
      </w:r>
      <w:r w:rsidRPr="00815073">
        <w:rPr>
          <w:rFonts w:cs="Arial"/>
          <w:b/>
          <w:bCs/>
          <w:sz w:val="20"/>
          <w:lang w:eastAsia="en-GB"/>
        </w:rPr>
        <w:t xml:space="preserve"> </w:t>
      </w:r>
    </w:p>
    <w:p w:rsidRPr="00815073" w:rsidR="00EE03B4" w:rsidP="00EE03B4" w:rsidRDefault="00EE03B4" w14:paraId="57815923" w14:textId="77777777">
      <w:pPr>
        <w:pStyle w:val="ListParagraph"/>
        <w:widowControl/>
        <w:numPr>
          <w:ilvl w:val="0"/>
          <w:numId w:val="3"/>
        </w:numPr>
        <w:shd w:val="clear" w:color="auto" w:fill="FFC000"/>
        <w:overflowPunct/>
        <w:autoSpaceDE/>
        <w:autoSpaceDN/>
        <w:adjustRightInd/>
        <w:spacing w:after="240" w:line="288" w:lineRule="auto"/>
        <w:textAlignment w:val="auto"/>
        <w:rPr>
          <w:rFonts w:cs="Arial"/>
          <w:b/>
          <w:bCs/>
          <w:sz w:val="20"/>
          <w:lang w:eastAsia="en-GB"/>
        </w:rPr>
      </w:pPr>
      <w:r w:rsidRPr="00815073">
        <w:rPr>
          <w:rFonts w:cs="Arial"/>
          <w:b/>
          <w:bCs/>
          <w:sz w:val="20"/>
          <w:lang w:eastAsia="en-GB"/>
        </w:rPr>
        <w:t xml:space="preserve">Developing: </w:t>
      </w:r>
      <w:r w:rsidRPr="00815073">
        <w:rPr>
          <w:rFonts w:cs="Arial"/>
          <w:sz w:val="20"/>
          <w:lang w:eastAsia="en-GB"/>
        </w:rPr>
        <w:t>Leaders</w:t>
      </w:r>
      <w:r>
        <w:rPr>
          <w:rFonts w:cs="Arial"/>
          <w:sz w:val="20"/>
          <w:lang w:eastAsia="en-GB"/>
        </w:rPr>
        <w:t xml:space="preserve"> of SEND</w:t>
      </w:r>
      <w:r w:rsidRPr="00815073">
        <w:rPr>
          <w:rFonts w:cs="Arial"/>
          <w:sz w:val="20"/>
          <w:lang w:eastAsia="en-GB"/>
        </w:rPr>
        <w:t xml:space="preserve"> have identified areas which are working well and those which need further development. They have developed plans for how they w</w:t>
      </w:r>
      <w:r>
        <w:rPr>
          <w:rFonts w:cs="Arial"/>
          <w:sz w:val="20"/>
          <w:lang w:eastAsia="en-GB"/>
        </w:rPr>
        <w:t>ill meet this strand of the standard</w:t>
      </w:r>
      <w:r w:rsidRPr="00815073">
        <w:rPr>
          <w:rFonts w:cs="Arial"/>
          <w:sz w:val="20"/>
          <w:lang w:eastAsia="en-GB"/>
        </w:rPr>
        <w:t xml:space="preserve">. </w:t>
      </w:r>
    </w:p>
    <w:p w:rsidR="00815073" w:rsidP="7F462BCB" w:rsidRDefault="00EE03B4" w14:paraId="5CDA4DA8" w14:textId="0D0DEDBE">
      <w:pPr>
        <w:pStyle w:val="ListParagraph"/>
        <w:widowControl/>
        <w:numPr>
          <w:ilvl w:val="0"/>
          <w:numId w:val="3"/>
        </w:numPr>
        <w:shd w:val="clear" w:color="auto" w:fill="FF0000"/>
        <w:spacing w:after="240" w:line="288" w:lineRule="auto"/>
        <w:rPr>
          <w:rFonts w:cs="Arial"/>
          <w:sz w:val="20"/>
          <w:lang w:eastAsia="en-GB"/>
        </w:rPr>
      </w:pPr>
      <w:r w:rsidRPr="7F462BCB">
        <w:rPr>
          <w:b/>
          <w:bCs/>
          <w:lang w:eastAsia="en-GB"/>
        </w:rPr>
        <w:t>I</w:t>
      </w:r>
      <w:r w:rsidRPr="7F462BCB" w:rsidR="00815073">
        <w:rPr>
          <w:rFonts w:cs="Arial"/>
          <w:b/>
          <w:bCs/>
          <w:sz w:val="20"/>
          <w:lang w:eastAsia="en-GB"/>
        </w:rPr>
        <w:t xml:space="preserve">dentifying: </w:t>
      </w:r>
      <w:r w:rsidRPr="7F462BCB" w:rsidR="00815073">
        <w:rPr>
          <w:rFonts w:cs="Arial"/>
          <w:sz w:val="20"/>
          <w:lang w:eastAsia="en-GB"/>
        </w:rPr>
        <w:t xml:space="preserve">Leaders of SEND are in the process of identifying the work needed to meet this strand of the standard.  </w:t>
      </w:r>
    </w:p>
    <w:p w:rsidRPr="00F05CAC" w:rsidR="005A7E0C" w:rsidP="005A7E0C" w:rsidRDefault="005A7E0C" w14:paraId="19DFABF3" w14:textId="77777777">
      <w:pPr>
        <w:pStyle w:val="3Bulletedcopyblue"/>
        <w:ind w:left="340"/>
        <w:rPr>
          <w:lang w:val="en-GB"/>
        </w:rPr>
      </w:pPr>
    </w:p>
    <w:tbl>
      <w:tblPr>
        <w:tblStyle w:val="TableGrid"/>
        <w:tblW w:w="0" w:type="auto"/>
        <w:tblLayout w:type="fixed"/>
        <w:tblLook w:val="04A0" w:firstRow="1" w:lastRow="0" w:firstColumn="1" w:lastColumn="0" w:noHBand="0" w:noVBand="1"/>
      </w:tblPr>
      <w:tblGrid>
        <w:gridCol w:w="2778"/>
        <w:gridCol w:w="2779"/>
        <w:gridCol w:w="1951"/>
        <w:gridCol w:w="1630"/>
        <w:gridCol w:w="4739"/>
      </w:tblGrid>
      <w:tr w:rsidR="005A7E0C" w:rsidTr="70C67D0E" w14:paraId="5343C188" w14:textId="77777777">
        <w:tc>
          <w:tcPr>
            <w:tcW w:w="2778" w:type="dxa"/>
            <w:tcMar/>
          </w:tcPr>
          <w:p w:rsidR="005A7E0C" w:rsidP="25C35E93" w:rsidRDefault="005A7E0C" w14:paraId="34D43A0F" w14:textId="77777777">
            <w:pPr>
              <w:rPr>
                <w:sz w:val="22"/>
              </w:rPr>
            </w:pPr>
            <w:r w:rsidRPr="25C35E93">
              <w:rPr>
                <w:sz w:val="22"/>
              </w:rPr>
              <w:t>SEND Standard</w:t>
            </w:r>
          </w:p>
        </w:tc>
        <w:tc>
          <w:tcPr>
            <w:tcW w:w="2779" w:type="dxa"/>
            <w:tcMar/>
          </w:tcPr>
          <w:p w:rsidR="005A7E0C" w:rsidP="25C35E93" w:rsidRDefault="005A7E0C" w14:paraId="4CC40E71" w14:textId="77777777">
            <w:pPr>
              <w:rPr>
                <w:sz w:val="22"/>
              </w:rPr>
            </w:pPr>
            <w:r w:rsidRPr="25C35E93">
              <w:rPr>
                <w:sz w:val="22"/>
              </w:rPr>
              <w:t>Question</w:t>
            </w:r>
          </w:p>
        </w:tc>
        <w:tc>
          <w:tcPr>
            <w:tcW w:w="1951" w:type="dxa"/>
            <w:tcMar/>
          </w:tcPr>
          <w:p w:rsidR="005A7E0C" w:rsidP="25C35E93" w:rsidRDefault="005A7E0C" w14:paraId="186AD959" w14:textId="77777777">
            <w:pPr>
              <w:rPr>
                <w:sz w:val="22"/>
              </w:rPr>
            </w:pPr>
            <w:r w:rsidRPr="25C35E93">
              <w:rPr>
                <w:sz w:val="22"/>
              </w:rPr>
              <w:t>Statutory/recommended/</w:t>
            </w:r>
          </w:p>
          <w:p w:rsidR="005A7E0C" w:rsidP="25C35E93" w:rsidRDefault="005A7E0C" w14:paraId="5620EC12" w14:textId="77777777">
            <w:pPr>
              <w:rPr>
                <w:sz w:val="22"/>
              </w:rPr>
            </w:pPr>
            <w:r w:rsidRPr="25C35E93">
              <w:rPr>
                <w:sz w:val="22"/>
              </w:rPr>
              <w:t>Best practice</w:t>
            </w:r>
          </w:p>
        </w:tc>
        <w:tc>
          <w:tcPr>
            <w:tcW w:w="1630" w:type="dxa"/>
            <w:tcMar/>
          </w:tcPr>
          <w:p w:rsidR="005A7E0C" w:rsidP="25C35E93" w:rsidRDefault="005A7E0C" w14:paraId="480D45FB" w14:textId="77777777">
            <w:pPr>
              <w:rPr>
                <w:sz w:val="22"/>
              </w:rPr>
            </w:pPr>
            <w:r w:rsidRPr="25C35E93">
              <w:rPr>
                <w:sz w:val="22"/>
              </w:rPr>
              <w:t>RAG Rating</w:t>
            </w:r>
          </w:p>
        </w:tc>
        <w:tc>
          <w:tcPr>
            <w:tcW w:w="4739" w:type="dxa"/>
            <w:tcMar/>
          </w:tcPr>
          <w:p w:rsidR="005A7E0C" w:rsidP="25C35E93" w:rsidRDefault="005A7E0C" w14:paraId="4042870D" w14:textId="77777777">
            <w:pPr>
              <w:rPr>
                <w:sz w:val="22"/>
              </w:rPr>
            </w:pPr>
            <w:r w:rsidRPr="25C35E93">
              <w:rPr>
                <w:sz w:val="22"/>
              </w:rPr>
              <w:t>Required Actions and Next Steps</w:t>
            </w:r>
          </w:p>
        </w:tc>
      </w:tr>
      <w:tr w:rsidR="007F4C65" w:rsidTr="70C67D0E" w14:paraId="509367E6" w14:textId="77777777">
        <w:trPr>
          <w:trHeight w:val="550"/>
        </w:trPr>
        <w:tc>
          <w:tcPr>
            <w:tcW w:w="2778" w:type="dxa"/>
            <w:vMerge w:val="restart"/>
            <w:shd w:val="clear" w:color="auto" w:fill="00B050"/>
            <w:tcMar/>
          </w:tcPr>
          <w:p w:rsidR="007F4C65" w:rsidP="00D30718" w:rsidRDefault="007F4C65" w14:paraId="69646701" w14:textId="77777777">
            <w:r>
              <w:t>1 An inclusive setting: providing a positive and supportive environment for all</w:t>
            </w:r>
          </w:p>
        </w:tc>
        <w:tc>
          <w:tcPr>
            <w:tcW w:w="2779" w:type="dxa"/>
            <w:shd w:val="clear" w:color="auto" w:fill="auto"/>
            <w:tcMar/>
          </w:tcPr>
          <w:p w:rsidRPr="009732ED" w:rsidR="007F4C65" w:rsidP="00D30718" w:rsidRDefault="007F4C65" w14:paraId="4BD08115" w14:textId="36824AAC">
            <w:pPr>
              <w:rPr>
                <w:sz w:val="20"/>
                <w:szCs w:val="20"/>
              </w:rPr>
            </w:pPr>
            <w:r w:rsidRPr="009732ED">
              <w:rPr>
                <w:sz w:val="20"/>
                <w:szCs w:val="20"/>
              </w:rPr>
              <w:t>Do the SLT understand their duties under the SEND code of practice</w:t>
            </w:r>
            <w:r w:rsidR="00CA7F93">
              <w:rPr>
                <w:sz w:val="20"/>
                <w:szCs w:val="20"/>
              </w:rPr>
              <w:t xml:space="preserve"> and strategically lead on SEND</w:t>
            </w:r>
            <w:r w:rsidRPr="009732ED">
              <w:rPr>
                <w:sz w:val="20"/>
                <w:szCs w:val="20"/>
              </w:rPr>
              <w:t>?</w:t>
            </w:r>
          </w:p>
        </w:tc>
        <w:tc>
          <w:tcPr>
            <w:tcW w:w="1951" w:type="dxa"/>
            <w:tcMar/>
          </w:tcPr>
          <w:p w:rsidRPr="009732ED" w:rsidR="007F4C65" w:rsidP="00D30718" w:rsidRDefault="007F4C65" w14:paraId="18F4D5CD" w14:textId="31306108">
            <w:pPr>
              <w:rPr>
                <w:sz w:val="20"/>
                <w:szCs w:val="20"/>
              </w:rPr>
            </w:pPr>
            <w:r w:rsidRPr="009732ED">
              <w:rPr>
                <w:sz w:val="20"/>
                <w:szCs w:val="20"/>
              </w:rPr>
              <w:t>Best practice</w:t>
            </w:r>
          </w:p>
        </w:tc>
        <w:tc>
          <w:tcPr>
            <w:tcW w:w="1630" w:type="dxa"/>
            <w:tcMar/>
          </w:tcPr>
          <w:p w:rsidR="007F4C65" w:rsidP="00D30718" w:rsidRDefault="007F4C65" w14:paraId="03BAE4C8" w14:textId="77777777"/>
        </w:tc>
        <w:tc>
          <w:tcPr>
            <w:tcW w:w="4739" w:type="dxa"/>
            <w:tcMar/>
          </w:tcPr>
          <w:p w:rsidR="007F4C65" w:rsidP="00D30718" w:rsidRDefault="007F4C65" w14:paraId="33E76ED3" w14:textId="77777777"/>
        </w:tc>
      </w:tr>
      <w:tr w:rsidR="009732ED" w:rsidTr="70C67D0E" w14:paraId="335906D4" w14:textId="77777777">
        <w:trPr>
          <w:trHeight w:val="550"/>
        </w:trPr>
        <w:tc>
          <w:tcPr>
            <w:tcW w:w="2778" w:type="dxa"/>
            <w:vMerge/>
            <w:tcMar/>
          </w:tcPr>
          <w:p w:rsidR="009732ED" w:rsidP="00D30718" w:rsidRDefault="009732ED" w14:paraId="7CA9D363" w14:textId="77777777"/>
        </w:tc>
        <w:tc>
          <w:tcPr>
            <w:tcW w:w="2779" w:type="dxa"/>
            <w:shd w:val="clear" w:color="auto" w:fill="auto"/>
            <w:tcMar/>
          </w:tcPr>
          <w:p w:rsidRPr="009732ED" w:rsidR="009732ED" w:rsidP="00D30718" w:rsidRDefault="00CA7F93" w14:paraId="1A1F6CB0" w14:textId="12066571">
            <w:pPr>
              <w:rPr>
                <w:sz w:val="20"/>
                <w:szCs w:val="20"/>
              </w:rPr>
            </w:pPr>
            <w:r>
              <w:rPr>
                <w:sz w:val="20"/>
                <w:szCs w:val="20"/>
              </w:rPr>
              <w:t>Do all staff have high aspirations for pup</w:t>
            </w:r>
            <w:r w:rsidR="00F461FB">
              <w:rPr>
                <w:sz w:val="20"/>
                <w:szCs w:val="20"/>
              </w:rPr>
              <w:t>ils with SEND and understand how to eliminate</w:t>
            </w:r>
            <w:r>
              <w:rPr>
                <w:sz w:val="20"/>
                <w:szCs w:val="20"/>
              </w:rPr>
              <w:t xml:space="preserve"> specific barriers</w:t>
            </w:r>
            <w:r w:rsidR="00F461FB">
              <w:rPr>
                <w:sz w:val="20"/>
                <w:szCs w:val="20"/>
              </w:rPr>
              <w:t xml:space="preserve"> a pupil faces to learning?</w:t>
            </w:r>
          </w:p>
        </w:tc>
        <w:tc>
          <w:tcPr>
            <w:tcW w:w="1951" w:type="dxa"/>
            <w:tcMar/>
          </w:tcPr>
          <w:p w:rsidRPr="009732ED" w:rsidR="009732ED" w:rsidP="00D30718" w:rsidRDefault="009732ED" w14:paraId="429948D2" w14:textId="5CBF6DF2">
            <w:pPr>
              <w:rPr>
                <w:sz w:val="20"/>
                <w:szCs w:val="20"/>
              </w:rPr>
            </w:pPr>
            <w:r w:rsidRPr="009732ED">
              <w:rPr>
                <w:sz w:val="20"/>
                <w:szCs w:val="20"/>
              </w:rPr>
              <w:t>Best practice</w:t>
            </w:r>
          </w:p>
        </w:tc>
        <w:tc>
          <w:tcPr>
            <w:tcW w:w="1630" w:type="dxa"/>
            <w:tcMar/>
          </w:tcPr>
          <w:p w:rsidR="009732ED" w:rsidP="00D30718" w:rsidRDefault="009732ED" w14:paraId="0D8B7290" w14:textId="77777777"/>
        </w:tc>
        <w:tc>
          <w:tcPr>
            <w:tcW w:w="4739" w:type="dxa"/>
            <w:tcMar/>
          </w:tcPr>
          <w:p w:rsidR="009732ED" w:rsidP="00D30718" w:rsidRDefault="009732ED" w14:paraId="39B6C2B9" w14:textId="77777777"/>
        </w:tc>
      </w:tr>
      <w:tr w:rsidR="00F461FB" w:rsidTr="70C67D0E" w14:paraId="5245080F" w14:textId="77777777">
        <w:trPr>
          <w:trHeight w:val="550"/>
        </w:trPr>
        <w:tc>
          <w:tcPr>
            <w:tcW w:w="2778" w:type="dxa"/>
            <w:vMerge/>
            <w:tcMar/>
          </w:tcPr>
          <w:p w:rsidR="00F461FB" w:rsidP="00D30718" w:rsidRDefault="00F461FB" w14:paraId="65AC878D" w14:textId="77777777"/>
        </w:tc>
        <w:tc>
          <w:tcPr>
            <w:tcW w:w="2779" w:type="dxa"/>
            <w:shd w:val="clear" w:color="auto" w:fill="auto"/>
            <w:tcMar/>
          </w:tcPr>
          <w:p w:rsidR="00F461FB" w:rsidP="00D30718" w:rsidRDefault="00F461FB" w14:paraId="26D90A09" w14:textId="6D49AF86">
            <w:pPr>
              <w:rPr>
                <w:sz w:val="20"/>
                <w:szCs w:val="20"/>
              </w:rPr>
            </w:pPr>
            <w:r>
              <w:rPr>
                <w:sz w:val="20"/>
                <w:szCs w:val="20"/>
              </w:rPr>
              <w:t>Are teachers empowered to use the information they have to make the next steps for SEND pupils?</w:t>
            </w:r>
          </w:p>
        </w:tc>
        <w:tc>
          <w:tcPr>
            <w:tcW w:w="1951" w:type="dxa"/>
            <w:tcMar/>
          </w:tcPr>
          <w:p w:rsidRPr="009732ED" w:rsidR="00F461FB" w:rsidP="00D30718" w:rsidRDefault="00F461FB" w14:paraId="6F62BEA1" w14:textId="6DE29DD0">
            <w:pPr>
              <w:rPr>
                <w:sz w:val="20"/>
                <w:szCs w:val="20"/>
              </w:rPr>
            </w:pPr>
            <w:r>
              <w:rPr>
                <w:sz w:val="20"/>
                <w:szCs w:val="20"/>
              </w:rPr>
              <w:t>Best practice</w:t>
            </w:r>
          </w:p>
        </w:tc>
        <w:tc>
          <w:tcPr>
            <w:tcW w:w="1630" w:type="dxa"/>
            <w:tcMar/>
          </w:tcPr>
          <w:p w:rsidR="00F461FB" w:rsidP="00D30718" w:rsidRDefault="00F461FB" w14:paraId="3A380BA4" w14:textId="77777777"/>
        </w:tc>
        <w:tc>
          <w:tcPr>
            <w:tcW w:w="4739" w:type="dxa"/>
            <w:tcMar/>
          </w:tcPr>
          <w:p w:rsidR="728C0CAC" w:rsidP="488D3157" w:rsidRDefault="728C0CAC" w14:paraId="67623D8A" w14:textId="57BC8384">
            <w:pPr>
              <w:rPr>
                <w:i/>
                <w:iCs/>
                <w:sz w:val="22"/>
              </w:rPr>
            </w:pPr>
            <w:r w:rsidRPr="488D3157">
              <w:rPr>
                <w:i/>
                <w:iCs/>
                <w:sz w:val="22"/>
              </w:rPr>
              <w:t>~example~</w:t>
            </w:r>
          </w:p>
          <w:p w:rsidR="00F461FB" w:rsidP="488D3157" w:rsidRDefault="00C21A37" w14:paraId="4BDE8394" w14:textId="77777777">
            <w:pPr>
              <w:rPr>
                <w:i/>
                <w:iCs/>
                <w:sz w:val="20"/>
                <w:szCs w:val="20"/>
              </w:rPr>
            </w:pPr>
            <w:r w:rsidRPr="488D3157">
              <w:rPr>
                <w:i/>
                <w:iCs/>
                <w:sz w:val="22"/>
              </w:rPr>
              <w:t>Teacher questionnaire</w:t>
            </w:r>
          </w:p>
          <w:p w:rsidR="00C21A37" w:rsidP="488D3157" w:rsidRDefault="00C21A37" w14:paraId="7EC29676" w14:textId="6F796764">
            <w:pPr>
              <w:pStyle w:val="ListParagraph"/>
              <w:numPr>
                <w:ilvl w:val="0"/>
                <w:numId w:val="15"/>
              </w:numPr>
              <w:rPr>
                <w:i/>
                <w:iCs/>
                <w:sz w:val="20"/>
              </w:rPr>
            </w:pPr>
            <w:r w:rsidRPr="488D3157">
              <w:rPr>
                <w:i/>
                <w:iCs/>
                <w:sz w:val="22"/>
                <w:szCs w:val="22"/>
              </w:rPr>
              <w:t>Assess how well teachers understand pupil passports/EHCPs/IEPs</w:t>
            </w:r>
          </w:p>
          <w:p w:rsidR="00C21A37" w:rsidP="488D3157" w:rsidRDefault="00C21A37" w14:paraId="1F8056F9" w14:textId="16BB94F6">
            <w:pPr>
              <w:pStyle w:val="ListParagraph"/>
              <w:numPr>
                <w:ilvl w:val="0"/>
                <w:numId w:val="15"/>
              </w:numPr>
              <w:rPr>
                <w:i/>
                <w:iCs/>
                <w:sz w:val="20"/>
              </w:rPr>
            </w:pPr>
            <w:r w:rsidRPr="488D3157">
              <w:rPr>
                <w:i/>
                <w:iCs/>
                <w:sz w:val="22"/>
                <w:szCs w:val="22"/>
              </w:rPr>
              <w:t>Assess how confident teachers feel in making the next steps for pupils with SEND</w:t>
            </w:r>
          </w:p>
          <w:p w:rsidR="00C21A37" w:rsidP="488D3157" w:rsidRDefault="00C21A37" w14:paraId="132374D0" w14:textId="34D8D345">
            <w:pPr>
              <w:pStyle w:val="ListParagraph"/>
              <w:numPr>
                <w:ilvl w:val="0"/>
                <w:numId w:val="15"/>
              </w:numPr>
              <w:rPr>
                <w:i/>
                <w:iCs/>
                <w:sz w:val="20"/>
              </w:rPr>
            </w:pPr>
            <w:r w:rsidRPr="488D3157">
              <w:rPr>
                <w:i/>
                <w:iCs/>
                <w:sz w:val="22"/>
                <w:szCs w:val="22"/>
              </w:rPr>
              <w:t>Investigate what teachers have currently put in place to support pupils with SEND</w:t>
            </w:r>
          </w:p>
        </w:tc>
      </w:tr>
      <w:tr w:rsidR="009C63B4" w:rsidTr="70C67D0E" w14:paraId="5CBCCBBC" w14:textId="77777777">
        <w:trPr>
          <w:trHeight w:val="550"/>
        </w:trPr>
        <w:tc>
          <w:tcPr>
            <w:tcW w:w="2778" w:type="dxa"/>
            <w:vMerge/>
            <w:tcMar/>
          </w:tcPr>
          <w:p w:rsidR="009C63B4" w:rsidP="00D30718" w:rsidRDefault="009C63B4" w14:paraId="39BE057E" w14:textId="77777777"/>
        </w:tc>
        <w:tc>
          <w:tcPr>
            <w:tcW w:w="2779" w:type="dxa"/>
            <w:shd w:val="clear" w:color="auto" w:fill="auto"/>
            <w:tcMar/>
          </w:tcPr>
          <w:p w:rsidR="009C63B4" w:rsidP="00D30718" w:rsidRDefault="009C63B4" w14:paraId="49E5881E" w14:textId="62F48881">
            <w:pPr>
              <w:rPr>
                <w:sz w:val="20"/>
                <w:szCs w:val="20"/>
              </w:rPr>
            </w:pPr>
            <w:r>
              <w:rPr>
                <w:sz w:val="20"/>
                <w:szCs w:val="20"/>
              </w:rPr>
              <w:t>Is the physical environment both inside and outside all classrooms accessible for all?</w:t>
            </w:r>
          </w:p>
        </w:tc>
        <w:tc>
          <w:tcPr>
            <w:tcW w:w="1951" w:type="dxa"/>
            <w:tcMar/>
          </w:tcPr>
          <w:p w:rsidRPr="009732ED" w:rsidR="009C63B4" w:rsidP="00D30718" w:rsidRDefault="00615E7E" w14:paraId="05A3BC78" w14:textId="7911E38F">
            <w:pPr>
              <w:rPr>
                <w:sz w:val="20"/>
                <w:szCs w:val="20"/>
              </w:rPr>
            </w:pPr>
            <w:r>
              <w:rPr>
                <w:sz w:val="20"/>
                <w:szCs w:val="20"/>
              </w:rPr>
              <w:t>Strongly</w:t>
            </w:r>
            <w:r w:rsidR="009C63B4">
              <w:rPr>
                <w:sz w:val="20"/>
                <w:szCs w:val="20"/>
              </w:rPr>
              <w:t xml:space="preserve"> recommended</w:t>
            </w:r>
          </w:p>
        </w:tc>
        <w:tc>
          <w:tcPr>
            <w:tcW w:w="1630" w:type="dxa"/>
            <w:tcMar/>
          </w:tcPr>
          <w:p w:rsidR="009C63B4" w:rsidP="00D30718" w:rsidRDefault="009C63B4" w14:paraId="75820BB3" w14:textId="77777777"/>
        </w:tc>
        <w:tc>
          <w:tcPr>
            <w:tcW w:w="4739" w:type="dxa"/>
            <w:tcMar/>
          </w:tcPr>
          <w:p w:rsidR="009C63B4" w:rsidP="488D3157" w:rsidRDefault="00C21A37" w14:paraId="73CA371E" w14:textId="77777777">
            <w:pPr>
              <w:pStyle w:val="ListParagraph"/>
              <w:numPr>
                <w:ilvl w:val="0"/>
                <w:numId w:val="13"/>
              </w:numPr>
              <w:rPr>
                <w:i/>
                <w:iCs/>
                <w:sz w:val="20"/>
              </w:rPr>
            </w:pPr>
            <w:r w:rsidRPr="488D3157">
              <w:rPr>
                <w:i/>
                <w:iCs/>
                <w:sz w:val="22"/>
                <w:szCs w:val="22"/>
              </w:rPr>
              <w:t>Environmental audit by AST</w:t>
            </w:r>
          </w:p>
          <w:p w:rsidR="00C21A37" w:rsidP="488D3157" w:rsidRDefault="00C21A37" w14:paraId="2934E4D6" w14:textId="77777777">
            <w:pPr>
              <w:pStyle w:val="ListParagraph"/>
              <w:numPr>
                <w:ilvl w:val="0"/>
                <w:numId w:val="13"/>
              </w:numPr>
              <w:rPr>
                <w:i/>
                <w:iCs/>
                <w:sz w:val="20"/>
              </w:rPr>
            </w:pPr>
            <w:r w:rsidRPr="488D3157">
              <w:rPr>
                <w:i/>
                <w:iCs/>
                <w:sz w:val="22"/>
                <w:szCs w:val="22"/>
              </w:rPr>
              <w:t>Request consultant environmental visit</w:t>
            </w:r>
          </w:p>
          <w:p w:rsidR="00C21A37" w:rsidP="488D3157" w:rsidRDefault="00C21A37" w14:paraId="1907D681" w14:textId="56894A6F">
            <w:pPr>
              <w:pStyle w:val="ListParagraph"/>
              <w:numPr>
                <w:ilvl w:val="0"/>
                <w:numId w:val="13"/>
              </w:numPr>
              <w:rPr>
                <w:i/>
                <w:iCs/>
                <w:sz w:val="20"/>
              </w:rPr>
            </w:pPr>
            <w:r w:rsidRPr="488D3157">
              <w:rPr>
                <w:i/>
                <w:iCs/>
                <w:sz w:val="22"/>
                <w:szCs w:val="22"/>
              </w:rPr>
              <w:t>Review the accessibility plan</w:t>
            </w:r>
          </w:p>
        </w:tc>
      </w:tr>
      <w:tr w:rsidR="009732ED" w:rsidTr="70C67D0E" w14:paraId="5EA66536" w14:textId="77777777">
        <w:trPr>
          <w:trHeight w:val="550"/>
        </w:trPr>
        <w:tc>
          <w:tcPr>
            <w:tcW w:w="2778" w:type="dxa"/>
            <w:vMerge/>
            <w:tcMar/>
          </w:tcPr>
          <w:p w:rsidR="009732ED" w:rsidP="00D30718" w:rsidRDefault="009732ED" w14:paraId="40FB3777" w14:textId="77777777"/>
        </w:tc>
        <w:tc>
          <w:tcPr>
            <w:tcW w:w="2779" w:type="dxa"/>
            <w:shd w:val="clear" w:color="auto" w:fill="auto"/>
            <w:tcMar/>
          </w:tcPr>
          <w:p w:rsidRPr="009732ED" w:rsidR="009732ED" w:rsidP="00D30718" w:rsidRDefault="009732ED" w14:paraId="008BB5FD" w14:textId="2295BE45">
            <w:pPr>
              <w:rPr>
                <w:sz w:val="20"/>
                <w:szCs w:val="20"/>
              </w:rPr>
            </w:pPr>
            <w:r w:rsidRPr="009732ED">
              <w:rPr>
                <w:sz w:val="20"/>
                <w:szCs w:val="20"/>
              </w:rPr>
              <w:t>Is the quality of teaching for pupils with SEND, and the progress mad</w:t>
            </w:r>
            <w:r w:rsidR="00CA7F93">
              <w:rPr>
                <w:sz w:val="20"/>
                <w:szCs w:val="20"/>
              </w:rPr>
              <w:t xml:space="preserve">e by pupils, a core part of </w:t>
            </w:r>
            <w:r w:rsidRPr="009732ED">
              <w:rPr>
                <w:sz w:val="20"/>
                <w:szCs w:val="20"/>
              </w:rPr>
              <w:t xml:space="preserve">performance </w:t>
            </w:r>
            <w:r w:rsidR="00CA7F93">
              <w:rPr>
                <w:sz w:val="20"/>
                <w:szCs w:val="20"/>
              </w:rPr>
              <w:t xml:space="preserve">management arrangements and the school </w:t>
            </w:r>
            <w:r w:rsidRPr="009732ED">
              <w:rPr>
                <w:sz w:val="20"/>
                <w:szCs w:val="20"/>
              </w:rPr>
              <w:t>approach to professional development for all teaching and support staff?</w:t>
            </w:r>
          </w:p>
        </w:tc>
        <w:tc>
          <w:tcPr>
            <w:tcW w:w="1951" w:type="dxa"/>
            <w:tcMar/>
          </w:tcPr>
          <w:p w:rsidRPr="009732ED" w:rsidR="009732ED" w:rsidP="00D30718" w:rsidRDefault="009732ED" w14:paraId="0AD151A7" w14:textId="0B425267">
            <w:pPr>
              <w:rPr>
                <w:sz w:val="20"/>
                <w:szCs w:val="20"/>
              </w:rPr>
            </w:pPr>
            <w:r w:rsidRPr="009732ED">
              <w:rPr>
                <w:sz w:val="20"/>
                <w:szCs w:val="20"/>
              </w:rPr>
              <w:t>Best practice</w:t>
            </w:r>
          </w:p>
        </w:tc>
        <w:tc>
          <w:tcPr>
            <w:tcW w:w="1630" w:type="dxa"/>
            <w:tcMar/>
          </w:tcPr>
          <w:p w:rsidR="009732ED" w:rsidP="00D30718" w:rsidRDefault="009732ED" w14:paraId="1B3623A0" w14:textId="77777777"/>
        </w:tc>
        <w:tc>
          <w:tcPr>
            <w:tcW w:w="4739" w:type="dxa"/>
            <w:tcMar/>
          </w:tcPr>
          <w:p w:rsidR="009732ED" w:rsidP="00D30718" w:rsidRDefault="009732ED" w14:paraId="070179B2" w14:textId="77777777"/>
        </w:tc>
      </w:tr>
      <w:tr w:rsidR="009732ED" w:rsidTr="70C67D0E" w14:paraId="721194DA" w14:textId="77777777">
        <w:trPr>
          <w:trHeight w:val="550"/>
        </w:trPr>
        <w:tc>
          <w:tcPr>
            <w:tcW w:w="2778" w:type="dxa"/>
            <w:vMerge/>
            <w:tcMar/>
          </w:tcPr>
          <w:p w:rsidR="009732ED" w:rsidP="00D30718" w:rsidRDefault="009732ED" w14:paraId="650AE3D7" w14:textId="77777777"/>
        </w:tc>
        <w:tc>
          <w:tcPr>
            <w:tcW w:w="2779" w:type="dxa"/>
            <w:shd w:val="clear" w:color="auto" w:fill="auto"/>
            <w:tcMar/>
          </w:tcPr>
          <w:p w:rsidRPr="009732ED" w:rsidR="009732ED" w:rsidP="00D30718" w:rsidRDefault="00CA7F93" w14:paraId="6DD3A2B8" w14:textId="6CB18EB0">
            <w:pPr>
              <w:rPr>
                <w:sz w:val="20"/>
                <w:szCs w:val="20"/>
              </w:rPr>
            </w:pPr>
            <w:r>
              <w:rPr>
                <w:sz w:val="20"/>
                <w:szCs w:val="20"/>
              </w:rPr>
              <w:t>Do all staff adopt a pro-active and positive approach to behaviour?</w:t>
            </w:r>
          </w:p>
        </w:tc>
        <w:tc>
          <w:tcPr>
            <w:tcW w:w="1951" w:type="dxa"/>
            <w:tcMar/>
          </w:tcPr>
          <w:p w:rsidRPr="009732ED" w:rsidR="009732ED" w:rsidP="00D30718" w:rsidRDefault="009732ED" w14:paraId="6B165118" w14:textId="2C3B037E">
            <w:pPr>
              <w:rPr>
                <w:sz w:val="20"/>
                <w:szCs w:val="20"/>
              </w:rPr>
            </w:pPr>
            <w:r w:rsidRPr="009732ED">
              <w:rPr>
                <w:sz w:val="20"/>
                <w:szCs w:val="20"/>
              </w:rPr>
              <w:t>Best practice</w:t>
            </w:r>
          </w:p>
        </w:tc>
        <w:tc>
          <w:tcPr>
            <w:tcW w:w="1630" w:type="dxa"/>
            <w:tcMar/>
          </w:tcPr>
          <w:p w:rsidR="009732ED" w:rsidP="00D30718" w:rsidRDefault="009732ED" w14:paraId="5232076B" w14:textId="77777777"/>
        </w:tc>
        <w:tc>
          <w:tcPr>
            <w:tcW w:w="4739" w:type="dxa"/>
            <w:tcMar/>
          </w:tcPr>
          <w:p w:rsidR="009732ED" w:rsidP="488D3157" w:rsidRDefault="009C63B4" w14:paraId="64537DE5" w14:textId="45D627F0">
            <w:pPr>
              <w:rPr>
                <w:i/>
                <w:iCs/>
              </w:rPr>
            </w:pPr>
            <w:r w:rsidRPr="488D3157">
              <w:rPr>
                <w:i/>
                <w:iCs/>
                <w:sz w:val="20"/>
                <w:szCs w:val="20"/>
              </w:rPr>
              <w:t xml:space="preserve">Schools should use the recommendations from the </w:t>
            </w:r>
            <w:hyperlink r:id="rId11">
              <w:r w:rsidRPr="488D3157">
                <w:rPr>
                  <w:rStyle w:val="Hyperlink"/>
                  <w:i/>
                  <w:iCs/>
                  <w:sz w:val="20"/>
                  <w:szCs w:val="20"/>
                </w:rPr>
                <w:t>Improving Behaviour in Schools Guidance report</w:t>
              </w:r>
            </w:hyperlink>
          </w:p>
        </w:tc>
      </w:tr>
      <w:tr w:rsidR="009732ED" w:rsidTr="70C67D0E" w14:paraId="5D4A338F" w14:textId="77777777">
        <w:trPr>
          <w:trHeight w:val="550"/>
        </w:trPr>
        <w:tc>
          <w:tcPr>
            <w:tcW w:w="2778" w:type="dxa"/>
            <w:vMerge/>
            <w:tcMar/>
          </w:tcPr>
          <w:p w:rsidR="009732ED" w:rsidP="00D30718" w:rsidRDefault="009732ED" w14:paraId="75DA3D62" w14:textId="77777777"/>
        </w:tc>
        <w:tc>
          <w:tcPr>
            <w:tcW w:w="2779" w:type="dxa"/>
            <w:shd w:val="clear" w:color="auto" w:fill="auto"/>
            <w:tcMar/>
          </w:tcPr>
          <w:p w:rsidRPr="008B31FE" w:rsidR="009732ED" w:rsidP="00D30718" w:rsidRDefault="009C63B4" w14:paraId="5071D2CF" w14:textId="77C617F5">
            <w:pPr>
              <w:rPr>
                <w:sz w:val="20"/>
                <w:szCs w:val="20"/>
              </w:rPr>
            </w:pPr>
            <w:r>
              <w:rPr>
                <w:sz w:val="20"/>
                <w:szCs w:val="20"/>
              </w:rPr>
              <w:t>Does planning show the curriculum is well sequenced and adapted to meet the diverse needs of all pupils?</w:t>
            </w:r>
          </w:p>
        </w:tc>
        <w:tc>
          <w:tcPr>
            <w:tcW w:w="1951" w:type="dxa"/>
            <w:tcMar/>
          </w:tcPr>
          <w:p w:rsidRPr="008B31FE" w:rsidR="009732ED" w:rsidP="00D30718" w:rsidRDefault="009732ED" w14:paraId="39B132EE" w14:textId="2E761C8C">
            <w:pPr>
              <w:rPr>
                <w:sz w:val="20"/>
                <w:szCs w:val="20"/>
              </w:rPr>
            </w:pPr>
            <w:r w:rsidRPr="008B31FE">
              <w:rPr>
                <w:sz w:val="20"/>
                <w:szCs w:val="20"/>
              </w:rPr>
              <w:t>Best practice</w:t>
            </w:r>
          </w:p>
        </w:tc>
        <w:tc>
          <w:tcPr>
            <w:tcW w:w="1630" w:type="dxa"/>
            <w:tcMar/>
          </w:tcPr>
          <w:p w:rsidR="009732ED" w:rsidP="00D30718" w:rsidRDefault="009732ED" w14:paraId="5DFBA53B" w14:textId="77777777"/>
        </w:tc>
        <w:tc>
          <w:tcPr>
            <w:tcW w:w="4739" w:type="dxa"/>
            <w:tcMar/>
          </w:tcPr>
          <w:p w:rsidR="009732ED" w:rsidP="00D30718" w:rsidRDefault="009732ED" w14:paraId="19FEC14C" w14:textId="77777777"/>
        </w:tc>
      </w:tr>
      <w:tr w:rsidR="009C63B4" w:rsidTr="70C67D0E" w14:paraId="37AA60D0" w14:textId="77777777">
        <w:trPr>
          <w:trHeight w:val="550"/>
        </w:trPr>
        <w:tc>
          <w:tcPr>
            <w:tcW w:w="2778" w:type="dxa"/>
            <w:vMerge/>
            <w:tcMar/>
          </w:tcPr>
          <w:p w:rsidR="009C63B4" w:rsidP="00D30718" w:rsidRDefault="009C63B4" w14:paraId="27032FFE" w14:textId="77777777"/>
        </w:tc>
        <w:tc>
          <w:tcPr>
            <w:tcW w:w="2779" w:type="dxa"/>
            <w:shd w:val="clear" w:color="auto" w:fill="auto"/>
            <w:tcMar/>
          </w:tcPr>
          <w:p w:rsidR="009C63B4" w:rsidP="00D30718" w:rsidRDefault="00F461FB" w14:paraId="4054F16D" w14:textId="7F851CC2">
            <w:pPr>
              <w:rPr>
                <w:sz w:val="20"/>
                <w:szCs w:val="20"/>
              </w:rPr>
            </w:pPr>
            <w:r>
              <w:rPr>
                <w:sz w:val="20"/>
                <w:szCs w:val="20"/>
              </w:rPr>
              <w:t>Do teachers have the skills and knowledge to sequence and adapt the curriculum for pupils with English as an additional language?</w:t>
            </w:r>
          </w:p>
        </w:tc>
        <w:tc>
          <w:tcPr>
            <w:tcW w:w="1951" w:type="dxa"/>
            <w:tcMar/>
          </w:tcPr>
          <w:p w:rsidRPr="008B31FE" w:rsidR="009C63B4" w:rsidP="00D30718" w:rsidRDefault="00F461FB" w14:paraId="15BEA762" w14:textId="0E214538">
            <w:pPr>
              <w:rPr>
                <w:sz w:val="20"/>
                <w:szCs w:val="20"/>
              </w:rPr>
            </w:pPr>
            <w:r>
              <w:rPr>
                <w:sz w:val="20"/>
                <w:szCs w:val="20"/>
              </w:rPr>
              <w:t>Best practice</w:t>
            </w:r>
          </w:p>
        </w:tc>
        <w:tc>
          <w:tcPr>
            <w:tcW w:w="1630" w:type="dxa"/>
            <w:tcMar/>
          </w:tcPr>
          <w:p w:rsidR="009C63B4" w:rsidP="00D30718" w:rsidRDefault="009C63B4" w14:paraId="4E282AB3" w14:textId="77777777"/>
        </w:tc>
        <w:tc>
          <w:tcPr>
            <w:tcW w:w="4739" w:type="dxa"/>
            <w:tcMar/>
          </w:tcPr>
          <w:p w:rsidR="009C63B4" w:rsidP="00D30718" w:rsidRDefault="009C63B4" w14:paraId="75FAF588" w14:textId="77777777"/>
        </w:tc>
      </w:tr>
      <w:tr w:rsidR="00F461FB" w:rsidTr="70C67D0E" w14:paraId="357052CB" w14:textId="77777777">
        <w:trPr>
          <w:trHeight w:val="550"/>
        </w:trPr>
        <w:tc>
          <w:tcPr>
            <w:tcW w:w="2778" w:type="dxa"/>
            <w:vMerge/>
            <w:tcMar/>
          </w:tcPr>
          <w:p w:rsidR="00F461FB" w:rsidP="00D30718" w:rsidRDefault="00F461FB" w14:paraId="0FCFE7AD" w14:textId="77777777"/>
        </w:tc>
        <w:tc>
          <w:tcPr>
            <w:tcW w:w="2779" w:type="dxa"/>
            <w:shd w:val="clear" w:color="auto" w:fill="auto"/>
            <w:tcMar/>
          </w:tcPr>
          <w:p w:rsidR="00F461FB" w:rsidP="00D30718" w:rsidRDefault="00F461FB" w14:paraId="35F79B6F" w14:textId="0266E30C">
            <w:pPr>
              <w:rPr>
                <w:sz w:val="20"/>
                <w:szCs w:val="20"/>
              </w:rPr>
            </w:pPr>
            <w:r>
              <w:rPr>
                <w:sz w:val="20"/>
                <w:szCs w:val="20"/>
              </w:rPr>
              <w:t>Is the engagement model fully embedded across the whole curriculum and supported by an appropriate assessment system?</w:t>
            </w:r>
          </w:p>
        </w:tc>
        <w:tc>
          <w:tcPr>
            <w:tcW w:w="1951" w:type="dxa"/>
            <w:tcMar/>
          </w:tcPr>
          <w:p w:rsidR="00F461FB" w:rsidP="00D30718" w:rsidRDefault="00F461FB" w14:paraId="7712C504" w14:textId="02417A90">
            <w:pPr>
              <w:rPr>
                <w:sz w:val="20"/>
                <w:szCs w:val="20"/>
              </w:rPr>
            </w:pPr>
            <w:r>
              <w:rPr>
                <w:sz w:val="20"/>
                <w:szCs w:val="20"/>
              </w:rPr>
              <w:t>Best practice</w:t>
            </w:r>
          </w:p>
        </w:tc>
        <w:tc>
          <w:tcPr>
            <w:tcW w:w="1630" w:type="dxa"/>
            <w:tcMar/>
          </w:tcPr>
          <w:p w:rsidR="00F461FB" w:rsidP="00D30718" w:rsidRDefault="00F461FB" w14:paraId="261D2689" w14:textId="77777777"/>
        </w:tc>
        <w:tc>
          <w:tcPr>
            <w:tcW w:w="4739" w:type="dxa"/>
            <w:tcMar/>
          </w:tcPr>
          <w:p w:rsidR="00F461FB" w:rsidP="00D30718" w:rsidRDefault="00F461FB" w14:paraId="475C27D1" w14:textId="77777777"/>
        </w:tc>
      </w:tr>
      <w:tr w:rsidR="009732ED" w:rsidTr="70C67D0E" w14:paraId="581F0C70" w14:textId="77777777">
        <w:trPr>
          <w:trHeight w:val="550"/>
        </w:trPr>
        <w:tc>
          <w:tcPr>
            <w:tcW w:w="2778" w:type="dxa"/>
            <w:vMerge/>
            <w:tcMar/>
          </w:tcPr>
          <w:p w:rsidR="009732ED" w:rsidP="00D30718" w:rsidRDefault="009732ED" w14:paraId="34079D49" w14:textId="77777777"/>
        </w:tc>
        <w:tc>
          <w:tcPr>
            <w:tcW w:w="2779" w:type="dxa"/>
            <w:shd w:val="clear" w:color="auto" w:fill="auto"/>
            <w:tcMar/>
          </w:tcPr>
          <w:p w:rsidRPr="008B31FE" w:rsidR="009732ED" w:rsidP="00D30718" w:rsidRDefault="009732ED" w14:paraId="2329BEFB" w14:textId="4E424E3F">
            <w:pPr>
              <w:rPr>
                <w:sz w:val="20"/>
                <w:szCs w:val="20"/>
              </w:rPr>
            </w:pPr>
            <w:r w:rsidRPr="008B31FE">
              <w:rPr>
                <w:sz w:val="20"/>
                <w:szCs w:val="20"/>
              </w:rPr>
              <w:t>Are all staff aware of the mental health needs of pupils and have the knowledge and skills to support them?</w:t>
            </w:r>
          </w:p>
        </w:tc>
        <w:tc>
          <w:tcPr>
            <w:tcW w:w="1951" w:type="dxa"/>
            <w:tcMar/>
          </w:tcPr>
          <w:p w:rsidRPr="008B31FE" w:rsidR="009732ED" w:rsidP="00D30718" w:rsidRDefault="009732ED" w14:paraId="13906546" w14:textId="2C852C97">
            <w:pPr>
              <w:rPr>
                <w:sz w:val="20"/>
                <w:szCs w:val="20"/>
              </w:rPr>
            </w:pPr>
            <w:r w:rsidRPr="008B31FE">
              <w:rPr>
                <w:sz w:val="20"/>
                <w:szCs w:val="20"/>
              </w:rPr>
              <w:t>Best practice</w:t>
            </w:r>
          </w:p>
        </w:tc>
        <w:tc>
          <w:tcPr>
            <w:tcW w:w="1630" w:type="dxa"/>
            <w:tcMar/>
          </w:tcPr>
          <w:p w:rsidR="009732ED" w:rsidP="00D30718" w:rsidRDefault="009732ED" w14:paraId="2589E9DA" w14:textId="77777777"/>
        </w:tc>
        <w:tc>
          <w:tcPr>
            <w:tcW w:w="4739" w:type="dxa"/>
            <w:tcMar/>
          </w:tcPr>
          <w:p w:rsidR="009732ED" w:rsidP="00D30718" w:rsidRDefault="009732ED" w14:paraId="36DD053F" w14:textId="77777777"/>
        </w:tc>
      </w:tr>
      <w:tr w:rsidR="007F4C65" w:rsidTr="70C67D0E" w14:paraId="05421331" w14:textId="77777777">
        <w:trPr>
          <w:trHeight w:val="860"/>
        </w:trPr>
        <w:tc>
          <w:tcPr>
            <w:tcW w:w="2778" w:type="dxa"/>
            <w:vMerge/>
            <w:tcMar/>
          </w:tcPr>
          <w:p w:rsidR="007F4C65" w:rsidP="00D30718" w:rsidRDefault="007F4C65" w14:paraId="5A954439" w14:textId="77777777"/>
        </w:tc>
        <w:tc>
          <w:tcPr>
            <w:tcW w:w="2779" w:type="dxa"/>
            <w:shd w:val="clear" w:color="auto" w:fill="auto"/>
            <w:tcMar/>
          </w:tcPr>
          <w:p w:rsidRPr="008B31FE" w:rsidR="007F4C65" w:rsidP="00C21792" w:rsidRDefault="007F4C65" w14:paraId="2B672429" w14:textId="20A2E207">
            <w:pPr>
              <w:pStyle w:val="7Tablebodycopy"/>
              <w:rPr>
                <w:szCs w:val="20"/>
              </w:rPr>
            </w:pPr>
            <w:r w:rsidRPr="008B31FE">
              <w:rPr>
                <w:szCs w:val="20"/>
                <w:lang w:val="en-GB"/>
              </w:rPr>
              <w:t>Do governors understand their duties under the SEND Code of Practice?</w:t>
            </w:r>
          </w:p>
        </w:tc>
        <w:tc>
          <w:tcPr>
            <w:tcW w:w="1951" w:type="dxa"/>
            <w:tcMar/>
          </w:tcPr>
          <w:p w:rsidRPr="008B31FE" w:rsidR="007F4C65" w:rsidP="00D30718" w:rsidRDefault="007F4C65" w14:paraId="2EE3107D" w14:textId="07F0670B">
            <w:pPr>
              <w:rPr>
                <w:sz w:val="20"/>
                <w:szCs w:val="20"/>
              </w:rPr>
            </w:pPr>
            <w:r w:rsidRPr="008B31FE">
              <w:rPr>
                <w:sz w:val="20"/>
                <w:szCs w:val="20"/>
              </w:rPr>
              <w:t>Best practice</w:t>
            </w:r>
          </w:p>
        </w:tc>
        <w:tc>
          <w:tcPr>
            <w:tcW w:w="1630" w:type="dxa"/>
            <w:tcMar/>
          </w:tcPr>
          <w:p w:rsidR="007F4C65" w:rsidP="00D30718" w:rsidRDefault="007F4C65" w14:paraId="57FC4BD9" w14:textId="77777777"/>
        </w:tc>
        <w:tc>
          <w:tcPr>
            <w:tcW w:w="4739" w:type="dxa"/>
            <w:tcMar/>
          </w:tcPr>
          <w:p w:rsidR="007F4C65" w:rsidP="00D30718" w:rsidRDefault="007F4C65" w14:paraId="04F6A5C4" w14:textId="77777777">
            <w:pPr>
              <w:rPr>
                <w:rFonts w:eastAsia="MS Mincho" w:cs="Times New Roman"/>
                <w:szCs w:val="24"/>
                <w:lang w:val="en-US"/>
              </w:rPr>
            </w:pPr>
          </w:p>
        </w:tc>
      </w:tr>
      <w:tr w:rsidR="007F4C65" w:rsidTr="70C67D0E" w14:paraId="23DED466" w14:textId="77777777">
        <w:trPr>
          <w:trHeight w:val="445"/>
        </w:trPr>
        <w:tc>
          <w:tcPr>
            <w:tcW w:w="2778" w:type="dxa"/>
            <w:vMerge/>
            <w:tcMar/>
          </w:tcPr>
          <w:p w:rsidR="007F4C65" w:rsidP="00D30718" w:rsidRDefault="007F4C65" w14:paraId="0BF057EB" w14:textId="77777777"/>
        </w:tc>
        <w:tc>
          <w:tcPr>
            <w:tcW w:w="2779" w:type="dxa"/>
            <w:shd w:val="clear" w:color="auto" w:fill="auto"/>
            <w:tcMar/>
          </w:tcPr>
          <w:p w:rsidRPr="008B31FE" w:rsidR="007F4C65" w:rsidP="00C21792" w:rsidRDefault="007F4C65" w14:paraId="1E6994FC" w14:textId="55ABEA4E">
            <w:pPr>
              <w:pStyle w:val="7Tablebodycopy"/>
              <w:rPr>
                <w:szCs w:val="20"/>
              </w:rPr>
            </w:pPr>
            <w:r w:rsidRPr="008B31FE">
              <w:rPr>
                <w:szCs w:val="20"/>
              </w:rPr>
              <w:t>Does the SEND governor meet with the SENCo every term?</w:t>
            </w:r>
          </w:p>
        </w:tc>
        <w:tc>
          <w:tcPr>
            <w:tcW w:w="1951" w:type="dxa"/>
            <w:tcMar/>
          </w:tcPr>
          <w:p w:rsidRPr="008B31FE" w:rsidR="007F4C65" w:rsidP="00D30718" w:rsidRDefault="007F4C65" w14:paraId="53854D61" w14:textId="3F2BB4E8">
            <w:pPr>
              <w:rPr>
                <w:sz w:val="20"/>
                <w:szCs w:val="20"/>
              </w:rPr>
            </w:pPr>
            <w:r w:rsidRPr="008B31FE">
              <w:rPr>
                <w:sz w:val="20"/>
                <w:szCs w:val="20"/>
              </w:rPr>
              <w:t>Best practice</w:t>
            </w:r>
          </w:p>
        </w:tc>
        <w:tc>
          <w:tcPr>
            <w:tcW w:w="1630" w:type="dxa"/>
            <w:tcMar/>
          </w:tcPr>
          <w:p w:rsidR="007F4C65" w:rsidP="00D30718" w:rsidRDefault="007F4C65" w14:paraId="3BF6672B" w14:textId="489023FE"/>
        </w:tc>
        <w:tc>
          <w:tcPr>
            <w:tcW w:w="4739" w:type="dxa"/>
            <w:tcMar/>
          </w:tcPr>
          <w:p w:rsidR="007F4C65" w:rsidP="00D30718" w:rsidRDefault="007F4C65" w14:paraId="76E0A9CB" w14:textId="77777777"/>
        </w:tc>
      </w:tr>
      <w:tr w:rsidR="007F4C65" w:rsidTr="70C67D0E" w14:paraId="57CFF4C2" w14:textId="77777777">
        <w:trPr>
          <w:trHeight w:val="445"/>
        </w:trPr>
        <w:tc>
          <w:tcPr>
            <w:tcW w:w="2778" w:type="dxa"/>
            <w:vMerge/>
            <w:tcMar/>
          </w:tcPr>
          <w:p w:rsidR="007F4C65" w:rsidP="00D30718" w:rsidRDefault="007F4C65" w14:paraId="26B01DA3" w14:textId="77777777"/>
        </w:tc>
        <w:tc>
          <w:tcPr>
            <w:tcW w:w="2779" w:type="dxa"/>
            <w:shd w:val="clear" w:color="auto" w:fill="auto"/>
            <w:tcMar/>
          </w:tcPr>
          <w:p w:rsidRPr="008B31FE" w:rsidR="007F4C65" w:rsidP="00C21792" w:rsidRDefault="00247314" w14:paraId="4D6DCFFA" w14:textId="2E5EF060">
            <w:pPr>
              <w:pStyle w:val="7Tablebodycopy"/>
              <w:rPr>
                <w:szCs w:val="20"/>
              </w:rPr>
            </w:pPr>
            <w:r>
              <w:rPr>
                <w:szCs w:val="20"/>
                <w:lang w:val="en-GB"/>
              </w:rPr>
              <w:t xml:space="preserve">Are parents </w:t>
            </w:r>
            <w:r w:rsidRPr="008B31FE" w:rsidR="007F4C65">
              <w:rPr>
                <w:szCs w:val="20"/>
                <w:lang w:val="en-GB"/>
              </w:rPr>
              <w:t>regularly consult</w:t>
            </w:r>
            <w:r>
              <w:rPr>
                <w:szCs w:val="20"/>
                <w:lang w:val="en-GB"/>
              </w:rPr>
              <w:t xml:space="preserve">ed </w:t>
            </w:r>
            <w:r w:rsidRPr="008B31FE" w:rsidR="007F4C65">
              <w:rPr>
                <w:szCs w:val="20"/>
                <w:lang w:val="en-GB"/>
              </w:rPr>
              <w:t>on planning and reviewing SEND provision?</w:t>
            </w:r>
          </w:p>
        </w:tc>
        <w:tc>
          <w:tcPr>
            <w:tcW w:w="1951" w:type="dxa"/>
            <w:tcMar/>
          </w:tcPr>
          <w:p w:rsidRPr="008B31FE" w:rsidR="007F4C65" w:rsidP="00D30718" w:rsidRDefault="007F4C65" w14:paraId="08D09AE4" w14:textId="7032CD68">
            <w:pPr>
              <w:rPr>
                <w:sz w:val="20"/>
                <w:szCs w:val="20"/>
              </w:rPr>
            </w:pPr>
            <w:r w:rsidRPr="008B31FE">
              <w:rPr>
                <w:sz w:val="20"/>
                <w:szCs w:val="20"/>
              </w:rPr>
              <w:t>Best practice</w:t>
            </w:r>
          </w:p>
        </w:tc>
        <w:tc>
          <w:tcPr>
            <w:tcW w:w="1630" w:type="dxa"/>
            <w:tcMar/>
          </w:tcPr>
          <w:p w:rsidR="007F4C65" w:rsidP="00D30718" w:rsidRDefault="007F4C65" w14:paraId="45D2D3FA" w14:textId="5F1EAF77"/>
        </w:tc>
        <w:tc>
          <w:tcPr>
            <w:tcW w:w="4739" w:type="dxa"/>
            <w:tcMar/>
          </w:tcPr>
          <w:p w:rsidR="007F4C65" w:rsidP="00D30718" w:rsidRDefault="007F4C65" w14:paraId="441AEBAC" w14:textId="77777777">
            <w:pPr>
              <w:rPr>
                <w:rFonts w:eastAsia="MS Mincho" w:cs="Times New Roman"/>
                <w:szCs w:val="24"/>
                <w:lang w:val="en-US"/>
              </w:rPr>
            </w:pPr>
          </w:p>
        </w:tc>
      </w:tr>
      <w:tr w:rsidR="00B2124D" w:rsidTr="70C67D0E" w14:paraId="545604D4" w14:textId="77777777">
        <w:trPr>
          <w:trHeight w:val="332"/>
        </w:trPr>
        <w:tc>
          <w:tcPr>
            <w:tcW w:w="2778" w:type="dxa"/>
            <w:vMerge w:val="restart"/>
            <w:shd w:val="clear" w:color="auto" w:fill="FFC000" w:themeFill="accent4"/>
            <w:tcMar/>
          </w:tcPr>
          <w:p w:rsidR="00B2124D" w:rsidP="00D30718" w:rsidRDefault="00B2124D" w14:paraId="4205B4D3" w14:textId="77777777">
            <w:r>
              <w:t xml:space="preserve">2 Ensuring high quality teaching is accessible to all </w:t>
            </w:r>
          </w:p>
        </w:tc>
        <w:tc>
          <w:tcPr>
            <w:tcW w:w="2779" w:type="dxa"/>
            <w:shd w:val="clear" w:color="auto" w:fill="auto"/>
            <w:tcMar/>
          </w:tcPr>
          <w:p w:rsidRPr="008B31FE" w:rsidR="00B2124D" w:rsidP="00D30718" w:rsidRDefault="0078024C" w14:paraId="6FF6ED6C" w14:textId="245DCCB0">
            <w:pPr>
              <w:rPr>
                <w:sz w:val="20"/>
                <w:szCs w:val="20"/>
              </w:rPr>
            </w:pPr>
            <w:r>
              <w:rPr>
                <w:sz w:val="20"/>
                <w:szCs w:val="20"/>
              </w:rPr>
              <w:t>Is HQT embedded into all subject areas, at all levels, across all years and by all teachers?</w:t>
            </w:r>
          </w:p>
        </w:tc>
        <w:tc>
          <w:tcPr>
            <w:tcW w:w="1951" w:type="dxa"/>
            <w:tcMar/>
          </w:tcPr>
          <w:p w:rsidRPr="008B31FE" w:rsidR="00B2124D" w:rsidP="00D30718" w:rsidRDefault="00B2124D" w14:paraId="6EFF4237" w14:textId="77777777">
            <w:pPr>
              <w:rPr>
                <w:sz w:val="20"/>
                <w:szCs w:val="20"/>
              </w:rPr>
            </w:pPr>
            <w:r w:rsidRPr="008B31FE">
              <w:rPr>
                <w:sz w:val="20"/>
                <w:szCs w:val="20"/>
              </w:rPr>
              <w:t>Strongly recommended</w:t>
            </w:r>
          </w:p>
        </w:tc>
        <w:tc>
          <w:tcPr>
            <w:tcW w:w="1630" w:type="dxa"/>
            <w:tcMar/>
          </w:tcPr>
          <w:p w:rsidR="00B2124D" w:rsidP="00D30718" w:rsidRDefault="00B2124D" w14:paraId="519C2D18" w14:textId="77777777"/>
        </w:tc>
        <w:tc>
          <w:tcPr>
            <w:tcW w:w="4739" w:type="dxa"/>
            <w:tcMar/>
          </w:tcPr>
          <w:p w:rsidR="00B2124D" w:rsidP="00D30718" w:rsidRDefault="00B2124D" w14:paraId="6F7AC7F5" w14:textId="77777777"/>
        </w:tc>
      </w:tr>
      <w:tr w:rsidR="00B2124D" w:rsidTr="70C67D0E" w14:paraId="4EA11713" w14:textId="77777777">
        <w:trPr>
          <w:trHeight w:val="332"/>
        </w:trPr>
        <w:tc>
          <w:tcPr>
            <w:tcW w:w="2778" w:type="dxa"/>
            <w:vMerge/>
            <w:tcMar/>
          </w:tcPr>
          <w:p w:rsidR="00B2124D" w:rsidP="00D30718" w:rsidRDefault="00B2124D" w14:paraId="0304188E" w14:textId="77777777"/>
        </w:tc>
        <w:tc>
          <w:tcPr>
            <w:tcW w:w="2779" w:type="dxa"/>
            <w:shd w:val="clear" w:color="auto" w:fill="auto"/>
            <w:tcMar/>
          </w:tcPr>
          <w:p w:rsidRPr="008B31FE" w:rsidR="00B2124D" w:rsidP="006D1EA7" w:rsidRDefault="0078024C" w14:paraId="4F2EA367" w14:textId="020554B6">
            <w:pPr>
              <w:rPr>
                <w:sz w:val="20"/>
                <w:szCs w:val="20"/>
              </w:rPr>
            </w:pPr>
            <w:r>
              <w:rPr>
                <w:sz w:val="20"/>
                <w:szCs w:val="20"/>
              </w:rPr>
              <w:t xml:space="preserve">Is the quality of teaching </w:t>
            </w:r>
            <w:r w:rsidRPr="008B31FE" w:rsidR="00B2124D">
              <w:rPr>
                <w:sz w:val="20"/>
                <w:szCs w:val="20"/>
              </w:rPr>
              <w:t>regularly and carefully review</w:t>
            </w:r>
            <w:r w:rsidR="006D1EA7">
              <w:rPr>
                <w:sz w:val="20"/>
                <w:szCs w:val="20"/>
              </w:rPr>
              <w:t>ed</w:t>
            </w:r>
            <w:r w:rsidRPr="008B31FE" w:rsidR="00B2124D">
              <w:rPr>
                <w:sz w:val="20"/>
                <w:szCs w:val="20"/>
              </w:rPr>
              <w:t xml:space="preserve"> including those at risk of underachievement?</w:t>
            </w:r>
          </w:p>
        </w:tc>
        <w:tc>
          <w:tcPr>
            <w:tcW w:w="1951" w:type="dxa"/>
            <w:tcMar/>
          </w:tcPr>
          <w:p w:rsidRPr="008B31FE" w:rsidR="00B2124D" w:rsidP="00D30718" w:rsidRDefault="00B2124D" w14:paraId="4B3F7984" w14:textId="0E695C49">
            <w:pPr>
              <w:rPr>
                <w:sz w:val="20"/>
                <w:szCs w:val="20"/>
              </w:rPr>
            </w:pPr>
            <w:r w:rsidRPr="008B31FE">
              <w:rPr>
                <w:sz w:val="20"/>
                <w:szCs w:val="20"/>
              </w:rPr>
              <w:t>Strongly recommended</w:t>
            </w:r>
          </w:p>
        </w:tc>
        <w:tc>
          <w:tcPr>
            <w:tcW w:w="1630" w:type="dxa"/>
            <w:tcMar/>
          </w:tcPr>
          <w:p w:rsidR="00B2124D" w:rsidP="00D30718" w:rsidRDefault="00B2124D" w14:paraId="5D25984A" w14:textId="77777777"/>
        </w:tc>
        <w:tc>
          <w:tcPr>
            <w:tcW w:w="4739" w:type="dxa"/>
            <w:tcMar/>
          </w:tcPr>
          <w:p w:rsidRPr="008B31FE" w:rsidR="00B2124D" w:rsidP="488D3157" w:rsidRDefault="00615E7E" w14:paraId="065038D6" w14:textId="39815E64">
            <w:pPr>
              <w:rPr>
                <w:i/>
                <w:iCs/>
                <w:sz w:val="20"/>
                <w:szCs w:val="20"/>
              </w:rPr>
            </w:pPr>
            <w:r w:rsidRPr="488D3157">
              <w:rPr>
                <w:i/>
                <w:iCs/>
                <w:sz w:val="20"/>
                <w:szCs w:val="20"/>
              </w:rPr>
              <w:t>Are you</w:t>
            </w:r>
            <w:r w:rsidRPr="488D3157" w:rsidR="00B2124D">
              <w:rPr>
                <w:i/>
                <w:iCs/>
                <w:sz w:val="20"/>
                <w:szCs w:val="20"/>
              </w:rPr>
              <w:t xml:space="preserve"> improving teachers’ understanding and delivery of strategies to id</w:t>
            </w:r>
            <w:r w:rsidRPr="488D3157">
              <w:rPr>
                <w:i/>
                <w:iCs/>
                <w:sz w:val="20"/>
                <w:szCs w:val="20"/>
              </w:rPr>
              <w:t>entify and support SEND pupils?</w:t>
            </w:r>
          </w:p>
        </w:tc>
      </w:tr>
      <w:tr w:rsidR="00D256F7" w:rsidTr="70C67D0E" w14:paraId="42F559A9" w14:textId="77777777">
        <w:trPr>
          <w:trHeight w:val="332"/>
        </w:trPr>
        <w:tc>
          <w:tcPr>
            <w:tcW w:w="2778" w:type="dxa"/>
            <w:vMerge/>
            <w:tcMar/>
          </w:tcPr>
          <w:p w:rsidR="00D256F7" w:rsidP="00D30718" w:rsidRDefault="00D256F7" w14:paraId="55E4B650" w14:textId="77777777"/>
        </w:tc>
        <w:tc>
          <w:tcPr>
            <w:tcW w:w="2779" w:type="dxa"/>
            <w:shd w:val="clear" w:color="auto" w:fill="auto"/>
            <w:tcMar/>
          </w:tcPr>
          <w:p w:rsidRPr="008B31FE" w:rsidR="00D256F7" w:rsidP="00D30718" w:rsidRDefault="00D256F7" w14:paraId="423302FD" w14:textId="5B4ECAF4">
            <w:pPr>
              <w:rPr>
                <w:sz w:val="20"/>
                <w:szCs w:val="20"/>
              </w:rPr>
            </w:pPr>
            <w:r>
              <w:rPr>
                <w:sz w:val="20"/>
                <w:szCs w:val="20"/>
              </w:rPr>
              <w:t>Are pupils with SEND taught with their peers in their mainstream classroom as much as possible?</w:t>
            </w:r>
          </w:p>
        </w:tc>
        <w:tc>
          <w:tcPr>
            <w:tcW w:w="1951" w:type="dxa"/>
            <w:tcMar/>
          </w:tcPr>
          <w:p w:rsidRPr="008B31FE" w:rsidR="00D256F7" w:rsidP="00D30718" w:rsidRDefault="00D256F7" w14:paraId="3A067B47" w14:textId="0FE2EE24">
            <w:pPr>
              <w:rPr>
                <w:sz w:val="20"/>
                <w:szCs w:val="20"/>
              </w:rPr>
            </w:pPr>
            <w:r>
              <w:rPr>
                <w:sz w:val="20"/>
                <w:szCs w:val="20"/>
              </w:rPr>
              <w:t>Strongly recommended</w:t>
            </w:r>
          </w:p>
        </w:tc>
        <w:tc>
          <w:tcPr>
            <w:tcW w:w="1630" w:type="dxa"/>
            <w:tcMar/>
          </w:tcPr>
          <w:p w:rsidR="00D256F7" w:rsidP="00D30718" w:rsidRDefault="00D256F7" w14:paraId="25B424B1" w14:textId="77777777"/>
        </w:tc>
        <w:tc>
          <w:tcPr>
            <w:tcW w:w="4739" w:type="dxa"/>
            <w:tcMar/>
          </w:tcPr>
          <w:p w:rsidRPr="008B31FE" w:rsidR="00D256F7" w:rsidP="00107119" w:rsidRDefault="00D256F7" w14:paraId="0AF0623C" w14:textId="77777777">
            <w:pPr>
              <w:rPr>
                <w:sz w:val="20"/>
                <w:szCs w:val="20"/>
              </w:rPr>
            </w:pPr>
          </w:p>
        </w:tc>
      </w:tr>
      <w:tr w:rsidR="00B2124D" w:rsidTr="70C67D0E" w14:paraId="22BED60D" w14:textId="77777777">
        <w:trPr>
          <w:trHeight w:val="332"/>
        </w:trPr>
        <w:tc>
          <w:tcPr>
            <w:tcW w:w="2778" w:type="dxa"/>
            <w:vMerge/>
            <w:tcMar/>
          </w:tcPr>
          <w:p w:rsidR="00B2124D" w:rsidP="00D30718" w:rsidRDefault="00B2124D" w14:paraId="14FF09A0" w14:textId="77777777"/>
        </w:tc>
        <w:tc>
          <w:tcPr>
            <w:tcW w:w="2779" w:type="dxa"/>
            <w:tcMar/>
          </w:tcPr>
          <w:p w:rsidRPr="008B31FE" w:rsidR="00B2124D" w:rsidP="00D30718" w:rsidRDefault="0F0A339A" w14:paraId="1720EAD0" w14:textId="07B00BAD">
            <w:pPr>
              <w:rPr>
                <w:sz w:val="20"/>
                <w:szCs w:val="20"/>
              </w:rPr>
            </w:pPr>
            <w:r w:rsidRPr="008B31FE">
              <w:rPr>
                <w:sz w:val="20"/>
                <w:szCs w:val="20"/>
                <w:shd w:val="clear" w:color="auto" w:fill="FFFFFF"/>
              </w:rPr>
              <w:t>Do all teaching staff understand that they are responsible for the learning of all pupils including those who have SEN?</w:t>
            </w:r>
          </w:p>
        </w:tc>
        <w:tc>
          <w:tcPr>
            <w:tcW w:w="1951" w:type="dxa"/>
            <w:tcMar/>
          </w:tcPr>
          <w:p w:rsidRPr="008B31FE" w:rsidR="00B2124D" w:rsidP="00D30718" w:rsidRDefault="00B2124D" w14:paraId="64DCDD11" w14:textId="5DEE9AAB">
            <w:pPr>
              <w:rPr>
                <w:sz w:val="20"/>
                <w:szCs w:val="20"/>
              </w:rPr>
            </w:pPr>
            <w:r w:rsidRPr="008B31FE">
              <w:rPr>
                <w:sz w:val="20"/>
                <w:szCs w:val="20"/>
              </w:rPr>
              <w:t>Strongly recommended</w:t>
            </w:r>
          </w:p>
        </w:tc>
        <w:tc>
          <w:tcPr>
            <w:tcW w:w="1630" w:type="dxa"/>
            <w:tcMar/>
          </w:tcPr>
          <w:p w:rsidR="00B2124D" w:rsidP="00D30718" w:rsidRDefault="00B2124D" w14:paraId="0819B52A" w14:textId="77777777"/>
        </w:tc>
        <w:tc>
          <w:tcPr>
            <w:tcW w:w="4739" w:type="dxa"/>
            <w:tcMar/>
          </w:tcPr>
          <w:p w:rsidR="00B2124D" w:rsidP="00D30718" w:rsidRDefault="00B2124D" w14:paraId="5D47B385" w14:textId="77777777"/>
        </w:tc>
      </w:tr>
      <w:tr w:rsidR="00B2124D" w:rsidTr="70C67D0E" w14:paraId="5402D15C" w14:textId="77777777">
        <w:trPr>
          <w:trHeight w:val="332"/>
        </w:trPr>
        <w:tc>
          <w:tcPr>
            <w:tcW w:w="2778" w:type="dxa"/>
            <w:vMerge/>
            <w:tcMar/>
          </w:tcPr>
          <w:p w:rsidR="00B2124D" w:rsidP="00D30718" w:rsidRDefault="00B2124D" w14:paraId="0E26774F" w14:textId="77777777"/>
        </w:tc>
        <w:tc>
          <w:tcPr>
            <w:tcW w:w="2779" w:type="dxa"/>
            <w:shd w:val="clear" w:color="auto" w:fill="auto"/>
            <w:tcMar/>
          </w:tcPr>
          <w:p w:rsidRPr="008B31FE" w:rsidR="00B2124D" w:rsidP="00D30718" w:rsidRDefault="0F0A339A" w14:paraId="74BBC938" w14:textId="03FC4646">
            <w:pPr>
              <w:rPr>
                <w:sz w:val="20"/>
                <w:szCs w:val="20"/>
              </w:rPr>
            </w:pPr>
            <w:r w:rsidRPr="008B31FE">
              <w:rPr>
                <w:sz w:val="20"/>
                <w:szCs w:val="20"/>
                <w:shd w:val="clear" w:color="auto" w:fill="FFFFFF"/>
              </w:rPr>
              <w:t>Do staff have the knowledge and skills to identify pupils with SEND and intervene immediately?</w:t>
            </w:r>
          </w:p>
        </w:tc>
        <w:tc>
          <w:tcPr>
            <w:tcW w:w="1951" w:type="dxa"/>
            <w:shd w:val="clear" w:color="auto" w:fill="auto"/>
            <w:tcMar/>
          </w:tcPr>
          <w:p w:rsidRPr="008B31FE" w:rsidR="00B2124D" w:rsidP="00D30718" w:rsidRDefault="00B2124D" w14:paraId="63235A09" w14:textId="1C4FD9F7">
            <w:pPr>
              <w:rPr>
                <w:sz w:val="20"/>
                <w:szCs w:val="20"/>
              </w:rPr>
            </w:pPr>
            <w:r w:rsidRPr="008B31FE">
              <w:rPr>
                <w:sz w:val="20"/>
                <w:szCs w:val="20"/>
              </w:rPr>
              <w:t>Best practice</w:t>
            </w:r>
          </w:p>
        </w:tc>
        <w:tc>
          <w:tcPr>
            <w:tcW w:w="1630" w:type="dxa"/>
            <w:tcMar/>
          </w:tcPr>
          <w:p w:rsidR="00B2124D" w:rsidP="00D30718" w:rsidRDefault="00B2124D" w14:paraId="5E41EC4D" w14:textId="77777777"/>
        </w:tc>
        <w:tc>
          <w:tcPr>
            <w:tcW w:w="4739" w:type="dxa"/>
            <w:tcMar/>
          </w:tcPr>
          <w:p w:rsidR="00B2124D" w:rsidP="00D30718" w:rsidRDefault="00B2124D" w14:paraId="2213286E" w14:textId="77777777"/>
        </w:tc>
      </w:tr>
      <w:tr w:rsidR="006D1EA7" w:rsidTr="70C67D0E" w14:paraId="1D942B83" w14:textId="77777777">
        <w:trPr>
          <w:trHeight w:val="332"/>
        </w:trPr>
        <w:tc>
          <w:tcPr>
            <w:tcW w:w="2778" w:type="dxa"/>
            <w:vMerge/>
            <w:tcMar/>
          </w:tcPr>
          <w:p w:rsidR="006D1EA7" w:rsidP="00D30718" w:rsidRDefault="006D1EA7" w14:paraId="79FC2181" w14:textId="77777777"/>
        </w:tc>
        <w:tc>
          <w:tcPr>
            <w:tcW w:w="2779" w:type="dxa"/>
            <w:shd w:val="clear" w:color="auto" w:fill="auto"/>
            <w:tcMar/>
          </w:tcPr>
          <w:p w:rsidRPr="008B31FE" w:rsidR="006D1EA7" w:rsidP="00D30718" w:rsidRDefault="4549F49B" w14:paraId="589E3C7C" w14:textId="0064FFE0">
            <w:pPr>
              <w:rPr>
                <w:sz w:val="20"/>
                <w:szCs w:val="20"/>
                <w:shd w:val="clear" w:color="auto" w:fill="FFFFFF"/>
              </w:rPr>
            </w:pPr>
            <w:r>
              <w:rPr>
                <w:sz w:val="20"/>
                <w:szCs w:val="20"/>
                <w:shd w:val="clear" w:color="auto" w:fill="FFFFFF"/>
              </w:rPr>
              <w:t>Are support staff effectively deployed?</w:t>
            </w:r>
          </w:p>
        </w:tc>
        <w:tc>
          <w:tcPr>
            <w:tcW w:w="1951" w:type="dxa"/>
            <w:shd w:val="clear" w:color="auto" w:fill="auto"/>
            <w:tcMar/>
          </w:tcPr>
          <w:p w:rsidRPr="008B31FE" w:rsidR="006D1EA7" w:rsidP="00D30718" w:rsidRDefault="006D1EA7" w14:paraId="49834D2B" w14:textId="1F8A2945">
            <w:pPr>
              <w:rPr>
                <w:sz w:val="20"/>
                <w:szCs w:val="20"/>
              </w:rPr>
            </w:pPr>
            <w:r>
              <w:rPr>
                <w:sz w:val="20"/>
                <w:szCs w:val="20"/>
              </w:rPr>
              <w:t>Best practice</w:t>
            </w:r>
          </w:p>
        </w:tc>
        <w:tc>
          <w:tcPr>
            <w:tcW w:w="1630" w:type="dxa"/>
            <w:tcMar/>
          </w:tcPr>
          <w:p w:rsidR="006D1EA7" w:rsidP="00D30718" w:rsidRDefault="006D1EA7" w14:paraId="4D344895" w14:textId="77777777"/>
        </w:tc>
        <w:tc>
          <w:tcPr>
            <w:tcW w:w="4739" w:type="dxa"/>
            <w:tcMar/>
          </w:tcPr>
          <w:p w:rsidR="006D1EA7" w:rsidP="00D30718" w:rsidRDefault="006D1EA7" w14:paraId="69D14D6D" w14:textId="77777777"/>
        </w:tc>
      </w:tr>
      <w:tr w:rsidR="006D1EA7" w:rsidTr="70C67D0E" w14:paraId="5DA7E183" w14:textId="77777777">
        <w:trPr>
          <w:trHeight w:val="332"/>
        </w:trPr>
        <w:tc>
          <w:tcPr>
            <w:tcW w:w="2778" w:type="dxa"/>
            <w:vMerge/>
            <w:tcMar/>
          </w:tcPr>
          <w:p w:rsidR="006D1EA7" w:rsidP="00D30718" w:rsidRDefault="006D1EA7" w14:paraId="0A5B1D5F" w14:textId="77777777"/>
        </w:tc>
        <w:tc>
          <w:tcPr>
            <w:tcW w:w="2779" w:type="dxa"/>
            <w:shd w:val="clear" w:color="auto" w:fill="auto"/>
            <w:tcMar/>
          </w:tcPr>
          <w:p w:rsidR="006D1EA7" w:rsidP="00D30718" w:rsidRDefault="4549F49B" w14:paraId="648289EB" w14:textId="26C9F407">
            <w:pPr>
              <w:rPr>
                <w:sz w:val="20"/>
                <w:szCs w:val="20"/>
                <w:shd w:val="clear" w:color="auto" w:fill="FFFFFF"/>
              </w:rPr>
            </w:pPr>
            <w:r>
              <w:rPr>
                <w:sz w:val="20"/>
                <w:szCs w:val="20"/>
                <w:shd w:val="clear" w:color="auto" w:fill="FFFFFF"/>
              </w:rPr>
              <w:t>Do all SEND pupils have equal access to teachers and subject specialists?</w:t>
            </w:r>
          </w:p>
        </w:tc>
        <w:tc>
          <w:tcPr>
            <w:tcW w:w="1951" w:type="dxa"/>
            <w:shd w:val="clear" w:color="auto" w:fill="auto"/>
            <w:tcMar/>
          </w:tcPr>
          <w:p w:rsidR="006D1EA7" w:rsidP="00D30718" w:rsidRDefault="006D1EA7" w14:paraId="7EF1F65A" w14:textId="55DE9E5A">
            <w:pPr>
              <w:rPr>
                <w:sz w:val="20"/>
                <w:szCs w:val="20"/>
              </w:rPr>
            </w:pPr>
            <w:r>
              <w:rPr>
                <w:sz w:val="20"/>
                <w:szCs w:val="20"/>
              </w:rPr>
              <w:t>Best practice</w:t>
            </w:r>
          </w:p>
        </w:tc>
        <w:tc>
          <w:tcPr>
            <w:tcW w:w="1630" w:type="dxa"/>
            <w:tcMar/>
          </w:tcPr>
          <w:p w:rsidR="006D1EA7" w:rsidP="00D30718" w:rsidRDefault="006D1EA7" w14:paraId="2384CFCF" w14:textId="77777777"/>
        </w:tc>
        <w:tc>
          <w:tcPr>
            <w:tcW w:w="4739" w:type="dxa"/>
            <w:tcMar/>
          </w:tcPr>
          <w:p w:rsidR="006D1EA7" w:rsidP="00D30718" w:rsidRDefault="006D1EA7" w14:paraId="39250E71" w14:textId="77777777"/>
        </w:tc>
      </w:tr>
      <w:tr w:rsidR="00B2124D" w:rsidTr="70C67D0E" w14:paraId="7C60877E" w14:textId="77777777">
        <w:trPr>
          <w:trHeight w:val="550"/>
        </w:trPr>
        <w:tc>
          <w:tcPr>
            <w:tcW w:w="2778" w:type="dxa"/>
            <w:vMerge/>
            <w:tcMar/>
          </w:tcPr>
          <w:p w:rsidR="00B2124D" w:rsidP="00D30718" w:rsidRDefault="00B2124D" w14:paraId="0B26A89E" w14:textId="77777777"/>
        </w:tc>
        <w:tc>
          <w:tcPr>
            <w:tcW w:w="2779" w:type="dxa"/>
            <w:shd w:val="clear" w:color="auto" w:fill="auto"/>
            <w:tcMar/>
          </w:tcPr>
          <w:p w:rsidRPr="008B31FE" w:rsidR="00B2124D" w:rsidP="00D30718" w:rsidRDefault="4549F49B" w14:paraId="651F61FB" w14:textId="7008E9F1">
            <w:pPr>
              <w:rPr>
                <w:sz w:val="20"/>
                <w:szCs w:val="20"/>
              </w:rPr>
            </w:pPr>
            <w:r>
              <w:rPr>
                <w:sz w:val="20"/>
                <w:szCs w:val="20"/>
                <w:shd w:val="clear" w:color="auto" w:fill="FFFFFF"/>
              </w:rPr>
              <w:t xml:space="preserve">Does the </w:t>
            </w:r>
            <w:r w:rsidRPr="008B31FE" w:rsidR="0F0A339A">
              <w:rPr>
                <w:sz w:val="20"/>
                <w:szCs w:val="20"/>
                <w:shd w:val="clear" w:color="auto" w:fill="FFFFFF"/>
              </w:rPr>
              <w:t>teaching and learning policy reflect changes in SEND provision?</w:t>
            </w:r>
          </w:p>
        </w:tc>
        <w:tc>
          <w:tcPr>
            <w:tcW w:w="1951" w:type="dxa"/>
            <w:shd w:val="clear" w:color="auto" w:fill="auto"/>
            <w:tcMar/>
          </w:tcPr>
          <w:p w:rsidRPr="008B31FE" w:rsidR="00B2124D" w:rsidP="00D30718" w:rsidRDefault="00B2124D" w14:paraId="7FFEB6F1" w14:textId="64FE22CC">
            <w:pPr>
              <w:rPr>
                <w:sz w:val="20"/>
                <w:szCs w:val="20"/>
              </w:rPr>
            </w:pPr>
            <w:r w:rsidRPr="008B31FE">
              <w:rPr>
                <w:sz w:val="20"/>
                <w:szCs w:val="20"/>
              </w:rPr>
              <w:t>Best practice</w:t>
            </w:r>
          </w:p>
        </w:tc>
        <w:tc>
          <w:tcPr>
            <w:tcW w:w="1630" w:type="dxa"/>
            <w:tcMar/>
          </w:tcPr>
          <w:p w:rsidR="00B2124D" w:rsidP="00D30718" w:rsidRDefault="00B2124D" w14:paraId="69BD36CE" w14:textId="77777777"/>
        </w:tc>
        <w:tc>
          <w:tcPr>
            <w:tcW w:w="4739" w:type="dxa"/>
            <w:tcMar/>
          </w:tcPr>
          <w:p w:rsidR="00B2124D" w:rsidP="00D30718" w:rsidRDefault="00B2124D" w14:paraId="1AEC7566" w14:textId="77777777"/>
        </w:tc>
      </w:tr>
      <w:tr w:rsidR="006D1EA7" w:rsidTr="70C67D0E" w14:paraId="542AEDA2" w14:textId="77777777">
        <w:trPr>
          <w:trHeight w:val="550"/>
        </w:trPr>
        <w:tc>
          <w:tcPr>
            <w:tcW w:w="2778" w:type="dxa"/>
            <w:vMerge/>
            <w:tcMar/>
          </w:tcPr>
          <w:p w:rsidR="006D1EA7" w:rsidP="00D30718" w:rsidRDefault="006D1EA7" w14:paraId="7D9E9BB2" w14:textId="77777777"/>
        </w:tc>
        <w:tc>
          <w:tcPr>
            <w:tcW w:w="2779" w:type="dxa"/>
            <w:shd w:val="clear" w:color="auto" w:fill="auto"/>
            <w:tcMar/>
          </w:tcPr>
          <w:p w:rsidR="006D1EA7" w:rsidP="00D30718" w:rsidRDefault="4549F49B" w14:paraId="48C7E949" w14:textId="6D537D85">
            <w:pPr>
              <w:rPr>
                <w:sz w:val="20"/>
                <w:szCs w:val="20"/>
                <w:shd w:val="clear" w:color="auto" w:fill="FFFFFF"/>
              </w:rPr>
            </w:pPr>
            <w:r>
              <w:rPr>
                <w:sz w:val="20"/>
                <w:szCs w:val="20"/>
                <w:shd w:val="clear" w:color="auto" w:fill="FFFFFF"/>
              </w:rPr>
              <w:t>Are all teachers confident in delivering the LA recommended strategies?</w:t>
            </w:r>
          </w:p>
        </w:tc>
        <w:tc>
          <w:tcPr>
            <w:tcW w:w="1951" w:type="dxa"/>
            <w:shd w:val="clear" w:color="auto" w:fill="auto"/>
            <w:tcMar/>
          </w:tcPr>
          <w:p w:rsidRPr="008B31FE" w:rsidR="006D1EA7" w:rsidP="00D30718" w:rsidRDefault="006D1EA7" w14:paraId="384D6578" w14:textId="3E3FBB1D">
            <w:pPr>
              <w:rPr>
                <w:sz w:val="20"/>
                <w:szCs w:val="20"/>
              </w:rPr>
            </w:pPr>
            <w:r>
              <w:rPr>
                <w:sz w:val="20"/>
                <w:szCs w:val="20"/>
              </w:rPr>
              <w:t>Best practice</w:t>
            </w:r>
          </w:p>
        </w:tc>
        <w:tc>
          <w:tcPr>
            <w:tcW w:w="1630" w:type="dxa"/>
            <w:tcMar/>
          </w:tcPr>
          <w:p w:rsidR="006D1EA7" w:rsidP="00D30718" w:rsidRDefault="006D1EA7" w14:paraId="0C3A7F2B" w14:textId="77777777"/>
        </w:tc>
        <w:tc>
          <w:tcPr>
            <w:tcW w:w="4739" w:type="dxa"/>
            <w:tcMar/>
          </w:tcPr>
          <w:p w:rsidRPr="006D1EA7" w:rsidR="006D1EA7" w:rsidP="488D3157" w:rsidRDefault="006D1EA7" w14:paraId="3B2D4E8B" w14:textId="536E10D2">
            <w:pPr>
              <w:rPr>
                <w:i/>
                <w:iCs/>
                <w:sz w:val="20"/>
                <w:szCs w:val="20"/>
              </w:rPr>
            </w:pPr>
            <w:r w:rsidRPr="488D3157">
              <w:rPr>
                <w:i/>
                <w:iCs/>
                <w:sz w:val="20"/>
                <w:szCs w:val="20"/>
              </w:rPr>
              <w:t>Scaffolding, flexible grouping, explicit instruction, adaptive technology, cognitive and metacognitive strategies</w:t>
            </w:r>
          </w:p>
        </w:tc>
      </w:tr>
      <w:tr w:rsidR="00B2124D" w:rsidTr="70C67D0E" w14:paraId="2CC30A08" w14:textId="77777777">
        <w:trPr>
          <w:trHeight w:val="550"/>
        </w:trPr>
        <w:tc>
          <w:tcPr>
            <w:tcW w:w="2778" w:type="dxa"/>
            <w:vMerge/>
            <w:tcMar/>
          </w:tcPr>
          <w:p w:rsidR="00B2124D" w:rsidP="00D30718" w:rsidRDefault="00B2124D" w14:paraId="389E1584" w14:textId="77777777"/>
        </w:tc>
        <w:tc>
          <w:tcPr>
            <w:tcW w:w="2779" w:type="dxa"/>
            <w:shd w:val="clear" w:color="auto" w:fill="auto"/>
            <w:tcMar/>
          </w:tcPr>
          <w:p w:rsidRPr="008B31FE" w:rsidR="00B2124D" w:rsidP="00D30718" w:rsidRDefault="4549F49B" w14:paraId="23AC4C76" w14:textId="6E707EE7">
            <w:pPr>
              <w:rPr>
                <w:sz w:val="20"/>
                <w:szCs w:val="20"/>
                <w:shd w:val="clear" w:color="auto" w:fill="FFFFFF"/>
              </w:rPr>
            </w:pPr>
            <w:r>
              <w:rPr>
                <w:sz w:val="20"/>
                <w:szCs w:val="20"/>
                <w:shd w:val="clear" w:color="auto" w:fill="FFFFFF"/>
              </w:rPr>
              <w:t xml:space="preserve">Is there </w:t>
            </w:r>
            <w:r w:rsidRPr="008B31FE" w:rsidR="0F0A339A">
              <w:rPr>
                <w:sz w:val="20"/>
                <w:szCs w:val="20"/>
                <w:shd w:val="clear" w:color="auto" w:fill="FFFFFF"/>
              </w:rPr>
              <w:t>robust target setting, tracking and monitoring systems for all pupils?</w:t>
            </w:r>
          </w:p>
        </w:tc>
        <w:tc>
          <w:tcPr>
            <w:tcW w:w="1951" w:type="dxa"/>
            <w:shd w:val="clear" w:color="auto" w:fill="auto"/>
            <w:tcMar/>
          </w:tcPr>
          <w:p w:rsidRPr="008B31FE" w:rsidR="00B2124D" w:rsidP="00D30718" w:rsidRDefault="00B2124D" w14:paraId="23FE06BD" w14:textId="2C187054">
            <w:pPr>
              <w:rPr>
                <w:sz w:val="20"/>
                <w:szCs w:val="20"/>
              </w:rPr>
            </w:pPr>
            <w:r w:rsidRPr="008B31FE">
              <w:rPr>
                <w:sz w:val="20"/>
                <w:szCs w:val="20"/>
              </w:rPr>
              <w:t>Best practice</w:t>
            </w:r>
          </w:p>
        </w:tc>
        <w:tc>
          <w:tcPr>
            <w:tcW w:w="1630" w:type="dxa"/>
            <w:tcMar/>
          </w:tcPr>
          <w:p w:rsidR="00B2124D" w:rsidP="00D30718" w:rsidRDefault="00B2124D" w14:paraId="63553927" w14:textId="2FC3D47E"/>
        </w:tc>
        <w:tc>
          <w:tcPr>
            <w:tcW w:w="4739" w:type="dxa"/>
            <w:tcMar/>
          </w:tcPr>
          <w:p w:rsidR="00B2124D" w:rsidP="00D30718" w:rsidRDefault="00B2124D" w14:paraId="577E8BB9" w14:textId="7EFF5DDC"/>
        </w:tc>
      </w:tr>
      <w:tr w:rsidR="00B2124D" w:rsidTr="70C67D0E" w14:paraId="1EC45EDF" w14:textId="77777777">
        <w:trPr>
          <w:trHeight w:val="550"/>
        </w:trPr>
        <w:tc>
          <w:tcPr>
            <w:tcW w:w="2778" w:type="dxa"/>
            <w:vMerge/>
            <w:tcMar/>
          </w:tcPr>
          <w:p w:rsidR="00B2124D" w:rsidP="00D30718" w:rsidRDefault="00B2124D" w14:paraId="6EE3FD08" w14:textId="77777777"/>
        </w:tc>
        <w:tc>
          <w:tcPr>
            <w:tcW w:w="2779" w:type="dxa"/>
            <w:shd w:val="clear" w:color="auto" w:fill="auto"/>
            <w:tcMar/>
          </w:tcPr>
          <w:p w:rsidRPr="008B31FE" w:rsidR="00B2124D" w:rsidP="00D30718" w:rsidRDefault="4549F49B" w14:paraId="3B6F0807" w14:textId="6C9E3967">
            <w:pPr>
              <w:rPr>
                <w:sz w:val="20"/>
                <w:szCs w:val="20"/>
                <w:shd w:val="clear" w:color="auto" w:fill="FFFFFF"/>
              </w:rPr>
            </w:pPr>
            <w:r>
              <w:rPr>
                <w:sz w:val="20"/>
                <w:szCs w:val="20"/>
                <w:shd w:val="clear" w:color="auto" w:fill="FFFFFF"/>
              </w:rPr>
              <w:t>Are there</w:t>
            </w:r>
            <w:r w:rsidRPr="008B31FE" w:rsidR="0F0A339A">
              <w:rPr>
                <w:sz w:val="20"/>
                <w:szCs w:val="20"/>
                <w:shd w:val="clear" w:color="auto" w:fill="FFFFFF"/>
              </w:rPr>
              <w:t xml:space="preserve"> effective ways of measuring progress, specifically for pupils with SEND? What about those with high needs</w:t>
            </w:r>
            <w:r w:rsidR="00615E7E">
              <w:rPr>
                <w:sz w:val="20"/>
                <w:szCs w:val="20"/>
                <w:shd w:val="clear" w:color="auto" w:fill="FFFFFF"/>
              </w:rPr>
              <w:t xml:space="preserve"> or at</w:t>
            </w:r>
            <w:r>
              <w:rPr>
                <w:sz w:val="20"/>
                <w:szCs w:val="20"/>
                <w:shd w:val="clear" w:color="auto" w:fill="FFFFFF"/>
              </w:rPr>
              <w:t xml:space="preserve"> engagement model</w:t>
            </w:r>
            <w:r w:rsidRPr="008B31FE" w:rsidR="0F0A339A">
              <w:rPr>
                <w:sz w:val="20"/>
                <w:szCs w:val="20"/>
                <w:shd w:val="clear" w:color="auto" w:fill="FFFFFF"/>
              </w:rPr>
              <w:t>?</w:t>
            </w:r>
          </w:p>
        </w:tc>
        <w:tc>
          <w:tcPr>
            <w:tcW w:w="1951" w:type="dxa"/>
            <w:shd w:val="clear" w:color="auto" w:fill="auto"/>
            <w:tcMar/>
          </w:tcPr>
          <w:p w:rsidRPr="008B31FE" w:rsidR="00B2124D" w:rsidP="00D30718" w:rsidRDefault="00B2124D" w14:paraId="2D93D294" w14:textId="4500AC5C">
            <w:pPr>
              <w:rPr>
                <w:sz w:val="20"/>
                <w:szCs w:val="20"/>
              </w:rPr>
            </w:pPr>
            <w:r w:rsidRPr="008B31FE">
              <w:rPr>
                <w:sz w:val="20"/>
                <w:szCs w:val="20"/>
              </w:rPr>
              <w:t>Best practice</w:t>
            </w:r>
          </w:p>
        </w:tc>
        <w:tc>
          <w:tcPr>
            <w:tcW w:w="1630" w:type="dxa"/>
            <w:tcMar/>
          </w:tcPr>
          <w:p w:rsidR="00B2124D" w:rsidP="00D30718" w:rsidRDefault="00B2124D" w14:paraId="1B025009" w14:textId="4DAA73DD"/>
        </w:tc>
        <w:tc>
          <w:tcPr>
            <w:tcW w:w="4739" w:type="dxa"/>
            <w:tcMar/>
          </w:tcPr>
          <w:p w:rsidR="00B2124D" w:rsidP="00D30718" w:rsidRDefault="00B2124D" w14:paraId="42C51BB2" w14:textId="77777777">
            <w:pPr>
              <w:rPr>
                <w:shd w:val="clear" w:color="auto" w:fill="FFFFFF"/>
              </w:rPr>
            </w:pPr>
          </w:p>
        </w:tc>
      </w:tr>
      <w:tr w:rsidR="004A2F02" w:rsidTr="70C67D0E" w14:paraId="474E7670" w14:textId="77777777">
        <w:trPr>
          <w:trHeight w:val="220"/>
        </w:trPr>
        <w:tc>
          <w:tcPr>
            <w:tcW w:w="2778" w:type="dxa"/>
            <w:vMerge w:val="restart"/>
            <w:shd w:val="clear" w:color="auto" w:fill="00B0F0"/>
            <w:tcMar/>
          </w:tcPr>
          <w:p w:rsidR="004A2F02" w:rsidP="00D30718" w:rsidRDefault="004A2F02" w14:paraId="1E3AEAE1" w14:textId="77777777">
            <w:r>
              <w:t>3 Building an ongoing and holistic understanding of need</w:t>
            </w:r>
          </w:p>
        </w:tc>
        <w:tc>
          <w:tcPr>
            <w:tcW w:w="2779" w:type="dxa"/>
            <w:tcMar/>
          </w:tcPr>
          <w:p w:rsidRPr="008B31FE" w:rsidR="004A2F02" w:rsidP="00D30718" w:rsidRDefault="00337EA5" w14:paraId="55518830" w14:textId="141D2EEC">
            <w:pPr>
              <w:rPr>
                <w:sz w:val="20"/>
                <w:szCs w:val="20"/>
              </w:rPr>
            </w:pPr>
            <w:r>
              <w:rPr>
                <w:rFonts w:eastAsia="MS Mincho" w:cs="Times New Roman"/>
                <w:sz w:val="20"/>
                <w:szCs w:val="20"/>
              </w:rPr>
              <w:t>Do SEND leaders use the graduated approach</w:t>
            </w:r>
            <w:r w:rsidRPr="008B31FE" w:rsidR="004A2F02">
              <w:rPr>
                <w:rFonts w:eastAsia="MS Mincho" w:cs="Times New Roman"/>
                <w:sz w:val="20"/>
                <w:szCs w:val="20"/>
              </w:rPr>
              <w:t xml:space="preserve"> ‘assess, plan, do, review’ as </w:t>
            </w:r>
            <w:r>
              <w:rPr>
                <w:rFonts w:eastAsia="MS Mincho" w:cs="Times New Roman"/>
                <w:sz w:val="20"/>
                <w:szCs w:val="20"/>
              </w:rPr>
              <w:t>set out in the Code of Practice to fully understand pupils’ learning needs and how best to support?</w:t>
            </w:r>
          </w:p>
        </w:tc>
        <w:tc>
          <w:tcPr>
            <w:tcW w:w="1951" w:type="dxa"/>
            <w:tcMar/>
          </w:tcPr>
          <w:p w:rsidRPr="008B31FE" w:rsidR="004A2F02" w:rsidP="00D30718" w:rsidRDefault="00171AA1" w14:paraId="33E27A19" w14:textId="77777777">
            <w:pPr>
              <w:rPr>
                <w:sz w:val="20"/>
                <w:szCs w:val="20"/>
              </w:rPr>
            </w:pPr>
            <w:r w:rsidRPr="008B31FE">
              <w:rPr>
                <w:sz w:val="20"/>
                <w:szCs w:val="20"/>
              </w:rPr>
              <w:t xml:space="preserve">Strongly </w:t>
            </w:r>
            <w:r w:rsidRPr="008B31FE" w:rsidR="004A2F02">
              <w:rPr>
                <w:sz w:val="20"/>
                <w:szCs w:val="20"/>
              </w:rPr>
              <w:t>recommended</w:t>
            </w:r>
          </w:p>
        </w:tc>
        <w:tc>
          <w:tcPr>
            <w:tcW w:w="1630" w:type="dxa"/>
            <w:tcMar/>
          </w:tcPr>
          <w:p w:rsidR="004A2F02" w:rsidP="00D30718" w:rsidRDefault="004A2F02" w14:paraId="1272D0B3" w14:textId="77777777"/>
        </w:tc>
        <w:tc>
          <w:tcPr>
            <w:tcW w:w="4739" w:type="dxa"/>
            <w:tcMar/>
          </w:tcPr>
          <w:p w:rsidR="004A2F02" w:rsidP="00D30718" w:rsidRDefault="004A2F02" w14:paraId="59BD1EAB" w14:textId="77777777"/>
        </w:tc>
      </w:tr>
      <w:tr w:rsidR="004A2F02" w:rsidTr="70C67D0E" w14:paraId="1606ECC3" w14:textId="77777777">
        <w:trPr>
          <w:trHeight w:val="220"/>
        </w:trPr>
        <w:tc>
          <w:tcPr>
            <w:tcW w:w="2778" w:type="dxa"/>
            <w:vMerge/>
            <w:tcMar/>
          </w:tcPr>
          <w:p w:rsidR="004A2F02" w:rsidP="00D30718" w:rsidRDefault="004A2F02" w14:paraId="28228B3E" w14:textId="77777777"/>
        </w:tc>
        <w:tc>
          <w:tcPr>
            <w:tcW w:w="2779" w:type="dxa"/>
            <w:tcMar/>
          </w:tcPr>
          <w:p w:rsidRPr="008B31FE" w:rsidR="004A2F02" w:rsidP="004A2F02" w:rsidRDefault="00B4058B" w14:paraId="72DD483B" w14:textId="224C8902">
            <w:pPr>
              <w:spacing w:after="60"/>
              <w:rPr>
                <w:rFonts w:eastAsia="MS Mincho" w:cs="Times New Roman"/>
                <w:sz w:val="20"/>
                <w:szCs w:val="20"/>
              </w:rPr>
            </w:pPr>
            <w:r>
              <w:rPr>
                <w:rFonts w:eastAsia="MS Mincho" w:cs="Times New Roman"/>
                <w:sz w:val="20"/>
                <w:szCs w:val="20"/>
              </w:rPr>
              <w:t>Is there precise</w:t>
            </w:r>
            <w:r w:rsidRPr="008B31FE" w:rsidR="004A2F02">
              <w:rPr>
                <w:rFonts w:eastAsia="MS Mincho" w:cs="Times New Roman"/>
                <w:sz w:val="20"/>
                <w:szCs w:val="20"/>
              </w:rPr>
              <w:t xml:space="preserve"> </w:t>
            </w:r>
            <w:r>
              <w:rPr>
                <w:rFonts w:eastAsia="MS Mincho" w:cs="Times New Roman"/>
                <w:sz w:val="20"/>
                <w:szCs w:val="20"/>
              </w:rPr>
              <w:t xml:space="preserve">knowledge of </w:t>
            </w:r>
            <w:r w:rsidRPr="008B31FE" w:rsidR="004A2F02">
              <w:rPr>
                <w:rFonts w:eastAsia="MS Mincho" w:cs="Times New Roman"/>
                <w:sz w:val="20"/>
                <w:szCs w:val="20"/>
              </w:rPr>
              <w:t xml:space="preserve">where children and young people with SEND are in their learning and development?  </w:t>
            </w:r>
            <w:r w:rsidR="00785789">
              <w:rPr>
                <w:rFonts w:eastAsia="MS Mincho" w:cs="Times New Roman"/>
                <w:sz w:val="20"/>
                <w:szCs w:val="20"/>
              </w:rPr>
              <w:t>Does this include:</w:t>
            </w:r>
          </w:p>
          <w:p w:rsidRPr="008B31FE" w:rsidR="004A2F02" w:rsidP="004A2F02" w:rsidRDefault="00B4058B" w14:paraId="2E29033C" w14:textId="1FB4B6F4">
            <w:pPr>
              <w:spacing w:after="60"/>
              <w:ind w:left="170"/>
              <w:rPr>
                <w:rFonts w:eastAsia="MS Mincho" w:cs="Times New Roman"/>
                <w:sz w:val="20"/>
                <w:szCs w:val="20"/>
              </w:rPr>
            </w:pPr>
            <w:r>
              <w:rPr>
                <w:rFonts w:eastAsia="MS Mincho" w:cs="Times New Roman"/>
                <w:sz w:val="20"/>
                <w:szCs w:val="20"/>
              </w:rPr>
              <w:t xml:space="preserve">Decisions </w:t>
            </w:r>
            <w:r w:rsidRPr="008B31FE" w:rsidR="004A2F02">
              <w:rPr>
                <w:rFonts w:eastAsia="MS Mincho" w:cs="Times New Roman"/>
                <w:sz w:val="20"/>
                <w:szCs w:val="20"/>
              </w:rPr>
              <w:t>informed by the insights of parents and those of children and young people themselves?</w:t>
            </w:r>
          </w:p>
          <w:p w:rsidRPr="008B31FE" w:rsidR="004A2F02" w:rsidP="004A2F02" w:rsidRDefault="00785789" w14:paraId="766DDBC0" w14:textId="54B369DF">
            <w:pPr>
              <w:spacing w:after="60"/>
              <w:ind w:left="170"/>
              <w:rPr>
                <w:rFonts w:eastAsia="MS Mincho" w:cs="Times New Roman"/>
                <w:sz w:val="20"/>
                <w:szCs w:val="20"/>
              </w:rPr>
            </w:pPr>
            <w:r>
              <w:rPr>
                <w:rFonts w:eastAsia="MS Mincho" w:cs="Times New Roman"/>
                <w:sz w:val="20"/>
                <w:szCs w:val="20"/>
              </w:rPr>
              <w:t>Having</w:t>
            </w:r>
            <w:r w:rsidRPr="008B31FE" w:rsidR="004A2F02">
              <w:rPr>
                <w:rFonts w:eastAsia="MS Mincho" w:cs="Times New Roman"/>
                <w:sz w:val="20"/>
                <w:szCs w:val="20"/>
              </w:rPr>
              <w:t xml:space="preserve"> high ambitions and set stretching targets for pupils with SEND?</w:t>
            </w:r>
          </w:p>
          <w:p w:rsidRPr="008B31FE" w:rsidR="004A2F02" w:rsidP="004A2F02" w:rsidRDefault="004A2F02" w14:paraId="6F945579" w14:textId="1CA86160">
            <w:pPr>
              <w:spacing w:after="60"/>
              <w:ind w:left="170"/>
              <w:rPr>
                <w:rFonts w:eastAsia="MS Mincho" w:cs="Times New Roman"/>
                <w:sz w:val="20"/>
                <w:szCs w:val="20"/>
              </w:rPr>
            </w:pPr>
            <w:r w:rsidRPr="008B31FE">
              <w:rPr>
                <w:rFonts w:eastAsia="MS Mincho" w:cs="Times New Roman"/>
                <w:sz w:val="20"/>
                <w:szCs w:val="20"/>
              </w:rPr>
              <w:t>Track</w:t>
            </w:r>
            <w:r w:rsidR="00785789">
              <w:rPr>
                <w:rFonts w:eastAsia="MS Mincho" w:cs="Times New Roman"/>
                <w:sz w:val="20"/>
                <w:szCs w:val="20"/>
              </w:rPr>
              <w:t>ing</w:t>
            </w:r>
            <w:r w:rsidRPr="008B31FE">
              <w:rPr>
                <w:rFonts w:eastAsia="MS Mincho" w:cs="Times New Roman"/>
                <w:sz w:val="20"/>
                <w:szCs w:val="20"/>
              </w:rPr>
              <w:t xml:space="preserve"> their progress towards these goals?</w:t>
            </w:r>
          </w:p>
          <w:p w:rsidRPr="008B31FE" w:rsidR="004A2F02" w:rsidP="004A2F02" w:rsidRDefault="004A2F02" w14:paraId="28A0058F" w14:textId="7D495281">
            <w:pPr>
              <w:spacing w:after="60"/>
              <w:ind w:left="170"/>
              <w:rPr>
                <w:rFonts w:eastAsia="MS Mincho" w:cs="Times New Roman"/>
                <w:sz w:val="20"/>
                <w:szCs w:val="20"/>
              </w:rPr>
            </w:pPr>
            <w:r w:rsidRPr="008B31FE">
              <w:rPr>
                <w:rFonts w:eastAsia="MS Mincho" w:cs="Times New Roman"/>
                <w:sz w:val="20"/>
                <w:szCs w:val="20"/>
              </w:rPr>
              <w:t>Keep</w:t>
            </w:r>
            <w:r w:rsidR="00785789">
              <w:rPr>
                <w:rFonts w:eastAsia="MS Mincho" w:cs="Times New Roman"/>
                <w:sz w:val="20"/>
                <w:szCs w:val="20"/>
              </w:rPr>
              <w:t>ing</w:t>
            </w:r>
            <w:r w:rsidRPr="008B31FE">
              <w:rPr>
                <w:rFonts w:eastAsia="MS Mincho" w:cs="Times New Roman"/>
                <w:sz w:val="20"/>
                <w:szCs w:val="20"/>
              </w:rPr>
              <w:t xml:space="preserve"> under review the additional or different provision that is made for them?</w:t>
            </w:r>
          </w:p>
          <w:p w:rsidRPr="008B31FE" w:rsidR="004A2F02" w:rsidP="004A2F02" w:rsidRDefault="00785789" w14:paraId="1E020981" w14:textId="30AEFE3B">
            <w:pPr>
              <w:spacing w:after="60"/>
              <w:ind w:left="170"/>
              <w:rPr>
                <w:rFonts w:eastAsia="MS Mincho" w:cs="Times New Roman"/>
                <w:sz w:val="20"/>
                <w:szCs w:val="20"/>
              </w:rPr>
            </w:pPr>
            <w:r>
              <w:rPr>
                <w:rFonts w:eastAsia="MS Mincho" w:cs="Times New Roman"/>
                <w:sz w:val="20"/>
                <w:szCs w:val="20"/>
              </w:rPr>
              <w:t>Promoting</w:t>
            </w:r>
            <w:r w:rsidRPr="008B31FE" w:rsidR="004A2F02">
              <w:rPr>
                <w:rFonts w:eastAsia="MS Mincho" w:cs="Times New Roman"/>
                <w:sz w:val="20"/>
                <w:szCs w:val="20"/>
              </w:rPr>
              <w:t xml:space="preserve"> positive outcomes in the wider areas of personal and social development?</w:t>
            </w:r>
          </w:p>
          <w:p w:rsidRPr="008B31FE" w:rsidR="004A2F02" w:rsidP="004A2F02" w:rsidRDefault="00785789" w14:paraId="4F336970" w14:textId="7D658C23">
            <w:pPr>
              <w:rPr>
                <w:rFonts w:eastAsia="MS Mincho" w:cs="Times New Roman"/>
                <w:sz w:val="20"/>
                <w:szCs w:val="20"/>
              </w:rPr>
            </w:pPr>
            <w:r>
              <w:rPr>
                <w:rFonts w:eastAsia="MS Mincho" w:cs="Times New Roman"/>
                <w:sz w:val="20"/>
                <w:szCs w:val="20"/>
              </w:rPr>
              <w:t xml:space="preserve">   Making</w:t>
            </w:r>
            <w:r w:rsidRPr="008B31FE" w:rsidR="004A2F02">
              <w:rPr>
                <w:rFonts w:eastAsia="MS Mincho" w:cs="Times New Roman"/>
                <w:sz w:val="20"/>
                <w:szCs w:val="20"/>
              </w:rPr>
              <w:t xml:space="preserve"> sure that the </w:t>
            </w:r>
            <w:r>
              <w:rPr>
                <w:rFonts w:eastAsia="MS Mincho" w:cs="Times New Roman"/>
                <w:sz w:val="20"/>
                <w:szCs w:val="20"/>
              </w:rPr>
              <w:t xml:space="preserve">   </w:t>
            </w:r>
            <w:r w:rsidRPr="008B31FE" w:rsidR="004A2F02">
              <w:rPr>
                <w:rFonts w:eastAsia="MS Mincho" w:cs="Times New Roman"/>
                <w:sz w:val="20"/>
                <w:szCs w:val="20"/>
              </w:rPr>
              <w:t>approaches used are based on the best possible evidence and are having the required impact on progress?</w:t>
            </w:r>
          </w:p>
        </w:tc>
        <w:tc>
          <w:tcPr>
            <w:tcW w:w="1951" w:type="dxa"/>
            <w:tcMar/>
          </w:tcPr>
          <w:p w:rsidRPr="008B31FE" w:rsidR="004A2F02" w:rsidP="00D30718" w:rsidRDefault="00171AA1" w14:paraId="0260C3C9" w14:textId="77777777">
            <w:pPr>
              <w:rPr>
                <w:sz w:val="20"/>
                <w:szCs w:val="20"/>
              </w:rPr>
            </w:pPr>
            <w:r w:rsidRPr="008B31FE">
              <w:rPr>
                <w:sz w:val="20"/>
                <w:szCs w:val="20"/>
              </w:rPr>
              <w:t>Strongly</w:t>
            </w:r>
          </w:p>
          <w:p w:rsidRPr="008B31FE" w:rsidR="004A2F02" w:rsidP="00D30718" w:rsidRDefault="004A2F02" w14:paraId="55439E2E" w14:textId="77777777">
            <w:pPr>
              <w:rPr>
                <w:sz w:val="20"/>
                <w:szCs w:val="20"/>
              </w:rPr>
            </w:pPr>
            <w:r w:rsidRPr="008B31FE">
              <w:rPr>
                <w:sz w:val="20"/>
                <w:szCs w:val="20"/>
              </w:rPr>
              <w:t>recommended</w:t>
            </w:r>
          </w:p>
        </w:tc>
        <w:tc>
          <w:tcPr>
            <w:tcW w:w="1630" w:type="dxa"/>
            <w:tcMar/>
          </w:tcPr>
          <w:p w:rsidR="004A2F02" w:rsidP="00D30718" w:rsidRDefault="004A2F02" w14:paraId="1E183257" w14:textId="77777777"/>
        </w:tc>
        <w:tc>
          <w:tcPr>
            <w:tcW w:w="4739" w:type="dxa"/>
            <w:tcMar/>
          </w:tcPr>
          <w:p w:rsidR="004A2F02" w:rsidP="00D30718" w:rsidRDefault="004A2F02" w14:paraId="2150061B" w14:textId="77777777"/>
        </w:tc>
      </w:tr>
      <w:tr w:rsidR="00976E82" w:rsidTr="70C67D0E" w14:paraId="4BD6140E" w14:textId="77777777">
        <w:trPr>
          <w:trHeight w:val="220"/>
        </w:trPr>
        <w:tc>
          <w:tcPr>
            <w:tcW w:w="2778" w:type="dxa"/>
            <w:vMerge/>
            <w:tcMar/>
          </w:tcPr>
          <w:p w:rsidR="00976E82" w:rsidP="00D30718" w:rsidRDefault="00976E82" w14:paraId="5DC59762" w14:textId="77777777"/>
        </w:tc>
        <w:tc>
          <w:tcPr>
            <w:tcW w:w="2779" w:type="dxa"/>
            <w:tcMar/>
          </w:tcPr>
          <w:p w:rsidRPr="008B31FE" w:rsidR="00976E82" w:rsidP="004A2F02" w:rsidRDefault="005F5D77" w14:paraId="004D7E38" w14:textId="362198B1">
            <w:pPr>
              <w:spacing w:after="60"/>
              <w:rPr>
                <w:rFonts w:eastAsia="MS Mincho" w:cs="Times New Roman"/>
                <w:sz w:val="20"/>
                <w:szCs w:val="20"/>
              </w:rPr>
            </w:pPr>
            <w:r>
              <w:rPr>
                <w:sz w:val="20"/>
                <w:szCs w:val="20"/>
                <w:shd w:val="clear" w:color="auto" w:fill="FFFFFF"/>
              </w:rPr>
              <w:t xml:space="preserve">Is the provision </w:t>
            </w:r>
            <w:r w:rsidRPr="008B31FE" w:rsidR="00976E82">
              <w:rPr>
                <w:sz w:val="20"/>
                <w:szCs w:val="20"/>
                <w:shd w:val="clear" w:color="auto" w:fill="FFFFFF"/>
              </w:rPr>
              <w:t xml:space="preserve">made for pupils with SEND </w:t>
            </w:r>
            <w:r>
              <w:rPr>
                <w:sz w:val="20"/>
                <w:szCs w:val="20"/>
                <w:shd w:val="clear" w:color="auto" w:fill="FFFFFF"/>
              </w:rPr>
              <w:t>accurately recorded and kept</w:t>
            </w:r>
            <w:r w:rsidRPr="008B31FE" w:rsidR="00976E82">
              <w:rPr>
                <w:sz w:val="20"/>
                <w:szCs w:val="20"/>
                <w:shd w:val="clear" w:color="auto" w:fill="FFFFFF"/>
              </w:rPr>
              <w:br/>
            </w:r>
            <w:r w:rsidRPr="008B31FE" w:rsidR="00976E82">
              <w:rPr>
                <w:sz w:val="20"/>
                <w:szCs w:val="20"/>
                <w:shd w:val="clear" w:color="auto" w:fill="FFFFFF"/>
              </w:rPr>
              <w:t>up to date?</w:t>
            </w:r>
          </w:p>
        </w:tc>
        <w:tc>
          <w:tcPr>
            <w:tcW w:w="1951" w:type="dxa"/>
            <w:tcMar/>
          </w:tcPr>
          <w:p w:rsidRPr="008B31FE" w:rsidR="00976E82" w:rsidP="00D30718" w:rsidRDefault="00976E82" w14:paraId="37EFE83C" w14:textId="15E3F49A">
            <w:pPr>
              <w:rPr>
                <w:sz w:val="20"/>
                <w:szCs w:val="20"/>
              </w:rPr>
            </w:pPr>
            <w:r w:rsidRPr="008B31FE">
              <w:rPr>
                <w:sz w:val="20"/>
                <w:szCs w:val="20"/>
              </w:rPr>
              <w:t>Strongly recommended</w:t>
            </w:r>
          </w:p>
        </w:tc>
        <w:tc>
          <w:tcPr>
            <w:tcW w:w="1630" w:type="dxa"/>
            <w:tcMar/>
          </w:tcPr>
          <w:p w:rsidR="00976E82" w:rsidP="00D30718" w:rsidRDefault="00976E82" w14:paraId="09AD20FD" w14:textId="77777777"/>
        </w:tc>
        <w:tc>
          <w:tcPr>
            <w:tcW w:w="4739" w:type="dxa"/>
            <w:tcMar/>
          </w:tcPr>
          <w:p w:rsidR="00976E82" w:rsidP="00D30718" w:rsidRDefault="00976E82" w14:paraId="51D74DF2" w14:textId="77777777"/>
        </w:tc>
      </w:tr>
      <w:tr w:rsidR="005F5D77" w:rsidTr="70C67D0E" w14:paraId="345AAE10" w14:textId="77777777">
        <w:trPr>
          <w:trHeight w:val="220"/>
        </w:trPr>
        <w:tc>
          <w:tcPr>
            <w:tcW w:w="2778" w:type="dxa"/>
            <w:vMerge/>
            <w:tcMar/>
          </w:tcPr>
          <w:p w:rsidR="005F5D77" w:rsidP="00D30718" w:rsidRDefault="005F5D77" w14:paraId="5E5754D9" w14:textId="77777777"/>
        </w:tc>
        <w:tc>
          <w:tcPr>
            <w:tcW w:w="2779" w:type="dxa"/>
            <w:tcMar/>
          </w:tcPr>
          <w:p w:rsidRPr="008B31FE" w:rsidR="005F5D77" w:rsidP="004A2F02" w:rsidRDefault="79B6ACD7" w14:paraId="575EE4EB" w14:textId="1DBB73B0">
            <w:pPr>
              <w:spacing w:after="60"/>
              <w:rPr>
                <w:sz w:val="20"/>
                <w:szCs w:val="20"/>
                <w:shd w:val="clear" w:color="auto" w:fill="FFFFFF"/>
              </w:rPr>
            </w:pPr>
            <w:r>
              <w:rPr>
                <w:sz w:val="20"/>
                <w:szCs w:val="20"/>
                <w:shd w:val="clear" w:color="auto" w:fill="FFFFFF"/>
              </w:rPr>
              <w:t>How effectively is the preparation for adulthood programme delivered and monitored for SEND pupils?</w:t>
            </w:r>
          </w:p>
        </w:tc>
        <w:tc>
          <w:tcPr>
            <w:tcW w:w="1951" w:type="dxa"/>
            <w:tcMar/>
          </w:tcPr>
          <w:p w:rsidRPr="008B31FE" w:rsidR="005F5D77" w:rsidP="00D30718" w:rsidRDefault="005F5D77" w14:paraId="6E80EE46" w14:textId="79D6375C">
            <w:pPr>
              <w:rPr>
                <w:sz w:val="20"/>
                <w:szCs w:val="20"/>
              </w:rPr>
            </w:pPr>
            <w:r>
              <w:rPr>
                <w:sz w:val="20"/>
                <w:szCs w:val="20"/>
              </w:rPr>
              <w:t>Best practice</w:t>
            </w:r>
          </w:p>
        </w:tc>
        <w:tc>
          <w:tcPr>
            <w:tcW w:w="1630" w:type="dxa"/>
            <w:tcMar/>
          </w:tcPr>
          <w:p w:rsidR="005F5D77" w:rsidP="00D30718" w:rsidRDefault="005F5D77" w14:paraId="6341EAA4" w14:textId="77777777"/>
        </w:tc>
        <w:tc>
          <w:tcPr>
            <w:tcW w:w="4739" w:type="dxa"/>
            <w:tcMar/>
          </w:tcPr>
          <w:p w:rsidR="005F5D77" w:rsidP="00D30718" w:rsidRDefault="005F5D77" w14:paraId="72D36F1D" w14:textId="77777777"/>
        </w:tc>
      </w:tr>
      <w:tr w:rsidR="004A2F02" w:rsidTr="70C67D0E" w14:paraId="08A7434C" w14:textId="77777777">
        <w:trPr>
          <w:trHeight w:val="220"/>
        </w:trPr>
        <w:tc>
          <w:tcPr>
            <w:tcW w:w="2778" w:type="dxa"/>
            <w:vMerge/>
            <w:tcMar/>
          </w:tcPr>
          <w:p w:rsidR="004A2F02" w:rsidP="00D30718" w:rsidRDefault="004A2F02" w14:paraId="22B5BC19" w14:textId="77777777"/>
        </w:tc>
        <w:tc>
          <w:tcPr>
            <w:tcW w:w="2779" w:type="dxa"/>
            <w:tcMar/>
          </w:tcPr>
          <w:p w:rsidRPr="008B31FE" w:rsidR="004A2F02" w:rsidP="00D30718" w:rsidRDefault="002C704F" w14:paraId="30FDDAF5" w14:textId="4823329B">
            <w:pPr>
              <w:rPr>
                <w:rFonts w:eastAsia="MS Mincho" w:cs="Times New Roman"/>
                <w:sz w:val="20"/>
                <w:szCs w:val="20"/>
              </w:rPr>
            </w:pPr>
            <w:r w:rsidRPr="008B31FE">
              <w:rPr>
                <w:sz w:val="20"/>
                <w:szCs w:val="20"/>
              </w:rPr>
              <w:t>Does the SENCO work with school leaders and teaching staff to identify patterns in the identification of SEND and use these to improve the quality of teaching?</w:t>
            </w:r>
          </w:p>
        </w:tc>
        <w:tc>
          <w:tcPr>
            <w:tcW w:w="1951" w:type="dxa"/>
            <w:tcMar/>
          </w:tcPr>
          <w:p w:rsidRPr="008B31FE" w:rsidR="004A2F02" w:rsidP="00D30718" w:rsidRDefault="002C704F" w14:paraId="15C5B49C" w14:textId="2C4AF07C">
            <w:pPr>
              <w:rPr>
                <w:sz w:val="20"/>
                <w:szCs w:val="20"/>
              </w:rPr>
            </w:pPr>
            <w:r w:rsidRPr="008B31FE">
              <w:rPr>
                <w:sz w:val="20"/>
                <w:szCs w:val="20"/>
              </w:rPr>
              <w:t>Strongly recommended</w:t>
            </w:r>
          </w:p>
        </w:tc>
        <w:tc>
          <w:tcPr>
            <w:tcW w:w="1630" w:type="dxa"/>
            <w:tcMar/>
          </w:tcPr>
          <w:p w:rsidR="004A2F02" w:rsidP="00D30718" w:rsidRDefault="004A2F02" w14:paraId="5CAE82B6" w14:textId="77777777"/>
        </w:tc>
        <w:tc>
          <w:tcPr>
            <w:tcW w:w="4739" w:type="dxa"/>
            <w:tcMar/>
          </w:tcPr>
          <w:p w:rsidR="004A2F02" w:rsidP="00D30718" w:rsidRDefault="004A2F02" w14:paraId="2DD9693E" w14:textId="77777777"/>
        </w:tc>
      </w:tr>
      <w:tr w:rsidR="005F5D77" w:rsidTr="70C67D0E" w14:paraId="48CB2CF5" w14:textId="77777777">
        <w:trPr>
          <w:trHeight w:val="220"/>
        </w:trPr>
        <w:tc>
          <w:tcPr>
            <w:tcW w:w="2778" w:type="dxa"/>
            <w:vMerge/>
            <w:tcMar/>
          </w:tcPr>
          <w:p w:rsidR="005F5D77" w:rsidP="00D30718" w:rsidRDefault="005F5D77" w14:paraId="6071CC01" w14:textId="77777777"/>
        </w:tc>
        <w:tc>
          <w:tcPr>
            <w:tcW w:w="2779" w:type="dxa"/>
            <w:tcMar/>
          </w:tcPr>
          <w:p w:rsidRPr="008B31FE" w:rsidR="005F5D77" w:rsidP="00D30718" w:rsidRDefault="005F5D77" w14:paraId="08AC1E9B" w14:textId="74B8FF82">
            <w:pPr>
              <w:rPr>
                <w:sz w:val="20"/>
                <w:szCs w:val="20"/>
              </w:rPr>
            </w:pPr>
            <w:r>
              <w:rPr>
                <w:sz w:val="20"/>
                <w:szCs w:val="20"/>
              </w:rPr>
              <w:t>Are teachers supported to plan effectively through regular training and designated times to meet with support staff?</w:t>
            </w:r>
          </w:p>
        </w:tc>
        <w:tc>
          <w:tcPr>
            <w:tcW w:w="1951" w:type="dxa"/>
            <w:tcMar/>
          </w:tcPr>
          <w:p w:rsidRPr="008B31FE" w:rsidR="005F5D77" w:rsidP="00D30718" w:rsidRDefault="005F5D77" w14:paraId="4E1EC46C" w14:textId="1F78AF1F">
            <w:pPr>
              <w:rPr>
                <w:sz w:val="20"/>
                <w:szCs w:val="20"/>
              </w:rPr>
            </w:pPr>
            <w:r>
              <w:rPr>
                <w:sz w:val="20"/>
                <w:szCs w:val="20"/>
              </w:rPr>
              <w:t>Strongly recommended</w:t>
            </w:r>
          </w:p>
        </w:tc>
        <w:tc>
          <w:tcPr>
            <w:tcW w:w="1630" w:type="dxa"/>
            <w:tcMar/>
          </w:tcPr>
          <w:p w:rsidR="005F5D77" w:rsidP="00D30718" w:rsidRDefault="005F5D77" w14:paraId="0D625235" w14:textId="77777777"/>
        </w:tc>
        <w:tc>
          <w:tcPr>
            <w:tcW w:w="4739" w:type="dxa"/>
            <w:tcMar/>
          </w:tcPr>
          <w:p w:rsidR="005F5D77" w:rsidP="00D30718" w:rsidRDefault="005F5D77" w14:paraId="0FF86F1C" w14:textId="77777777"/>
        </w:tc>
      </w:tr>
      <w:tr w:rsidR="00337EA5" w:rsidTr="70C67D0E" w14:paraId="7C7AB3E4" w14:textId="77777777">
        <w:trPr>
          <w:trHeight w:val="220"/>
        </w:trPr>
        <w:tc>
          <w:tcPr>
            <w:tcW w:w="2778" w:type="dxa"/>
            <w:vMerge/>
            <w:tcMar/>
          </w:tcPr>
          <w:p w:rsidR="00337EA5" w:rsidP="00D30718" w:rsidRDefault="00337EA5" w14:paraId="3DFC6113" w14:textId="77777777"/>
        </w:tc>
        <w:tc>
          <w:tcPr>
            <w:tcW w:w="2779" w:type="dxa"/>
            <w:tcMar/>
          </w:tcPr>
          <w:p w:rsidRPr="008B31FE" w:rsidR="00337EA5" w:rsidP="00D30718" w:rsidRDefault="00337EA5" w14:paraId="1624F36A" w14:textId="414D83BB">
            <w:pPr>
              <w:rPr>
                <w:sz w:val="20"/>
                <w:szCs w:val="20"/>
              </w:rPr>
            </w:pPr>
            <w:r>
              <w:rPr>
                <w:sz w:val="20"/>
                <w:szCs w:val="20"/>
              </w:rPr>
              <w:t>Do leaders regularly assess the impact of teaching strategies to maximise progress for SEN pupils?</w:t>
            </w:r>
          </w:p>
        </w:tc>
        <w:tc>
          <w:tcPr>
            <w:tcW w:w="1951" w:type="dxa"/>
            <w:tcMar/>
          </w:tcPr>
          <w:p w:rsidRPr="008B31FE" w:rsidR="00337EA5" w:rsidP="00D30718" w:rsidRDefault="00337EA5" w14:paraId="229AF75C" w14:textId="23389DC3">
            <w:pPr>
              <w:rPr>
                <w:sz w:val="20"/>
                <w:szCs w:val="20"/>
              </w:rPr>
            </w:pPr>
            <w:r>
              <w:rPr>
                <w:sz w:val="20"/>
                <w:szCs w:val="20"/>
              </w:rPr>
              <w:t>Strongly recommended</w:t>
            </w:r>
          </w:p>
        </w:tc>
        <w:tc>
          <w:tcPr>
            <w:tcW w:w="1630" w:type="dxa"/>
            <w:tcMar/>
          </w:tcPr>
          <w:p w:rsidR="00337EA5" w:rsidP="00D30718" w:rsidRDefault="00337EA5" w14:paraId="2E1053B3" w14:textId="77777777"/>
        </w:tc>
        <w:tc>
          <w:tcPr>
            <w:tcW w:w="4739" w:type="dxa"/>
            <w:tcMar/>
          </w:tcPr>
          <w:p w:rsidR="00337EA5" w:rsidP="00D30718" w:rsidRDefault="00337EA5" w14:paraId="4367B43F" w14:textId="77777777"/>
        </w:tc>
      </w:tr>
      <w:tr w:rsidR="007F4C65" w:rsidTr="70C67D0E" w14:paraId="6F9694B7" w14:textId="77777777">
        <w:trPr>
          <w:trHeight w:val="220"/>
        </w:trPr>
        <w:tc>
          <w:tcPr>
            <w:tcW w:w="2778" w:type="dxa"/>
            <w:vMerge/>
            <w:tcMar/>
          </w:tcPr>
          <w:p w:rsidR="007F4C65" w:rsidP="00D30718" w:rsidRDefault="007F4C65" w14:paraId="2367A172" w14:textId="77777777"/>
        </w:tc>
        <w:tc>
          <w:tcPr>
            <w:tcW w:w="2779" w:type="dxa"/>
            <w:tcMar/>
          </w:tcPr>
          <w:p w:rsidRPr="008B31FE" w:rsidR="007F4C65" w:rsidP="00D30718" w:rsidRDefault="007F4C65" w14:paraId="59A9588C" w14:textId="2C5F2FC5">
            <w:pPr>
              <w:rPr>
                <w:sz w:val="20"/>
                <w:szCs w:val="20"/>
              </w:rPr>
            </w:pPr>
            <w:r w:rsidRPr="008B31FE">
              <w:rPr>
                <w:sz w:val="20"/>
                <w:szCs w:val="20"/>
              </w:rPr>
              <w:t>Do we talk to parents regularly (at least 3 times a year) to set clear outcomes for pupils and review progress towards these</w:t>
            </w:r>
            <w:r w:rsidR="005F5D77">
              <w:rPr>
                <w:sz w:val="20"/>
                <w:szCs w:val="20"/>
              </w:rPr>
              <w:t xml:space="preserve"> together</w:t>
            </w:r>
            <w:r w:rsidRPr="008B31FE">
              <w:rPr>
                <w:sz w:val="20"/>
                <w:szCs w:val="20"/>
              </w:rPr>
              <w:t>?</w:t>
            </w:r>
          </w:p>
        </w:tc>
        <w:tc>
          <w:tcPr>
            <w:tcW w:w="1951" w:type="dxa"/>
            <w:tcMar/>
          </w:tcPr>
          <w:p w:rsidRPr="008B31FE" w:rsidR="007F4C65" w:rsidP="00D30718" w:rsidRDefault="007F4C65" w14:paraId="50B6CD4C" w14:textId="55C7479C">
            <w:pPr>
              <w:rPr>
                <w:sz w:val="20"/>
                <w:szCs w:val="20"/>
              </w:rPr>
            </w:pPr>
            <w:r w:rsidRPr="008B31FE">
              <w:rPr>
                <w:sz w:val="20"/>
                <w:szCs w:val="20"/>
              </w:rPr>
              <w:t>Strongly recommended</w:t>
            </w:r>
          </w:p>
        </w:tc>
        <w:tc>
          <w:tcPr>
            <w:tcW w:w="1630" w:type="dxa"/>
            <w:tcMar/>
          </w:tcPr>
          <w:p w:rsidR="007F4C65" w:rsidP="00D30718" w:rsidRDefault="007F4C65" w14:paraId="0FEEBFAB" w14:textId="77777777"/>
        </w:tc>
        <w:tc>
          <w:tcPr>
            <w:tcW w:w="4739" w:type="dxa"/>
            <w:tcMar/>
          </w:tcPr>
          <w:p w:rsidR="007F4C65" w:rsidP="00D30718" w:rsidRDefault="007F4C65" w14:paraId="553BBB8B" w14:textId="77777777"/>
        </w:tc>
      </w:tr>
      <w:tr w:rsidR="00337EA5" w:rsidTr="70C67D0E" w14:paraId="41A595BF" w14:textId="77777777">
        <w:trPr>
          <w:trHeight w:val="220"/>
        </w:trPr>
        <w:tc>
          <w:tcPr>
            <w:tcW w:w="2778" w:type="dxa"/>
            <w:vMerge/>
            <w:tcMar/>
          </w:tcPr>
          <w:p w:rsidR="00337EA5" w:rsidP="00D30718" w:rsidRDefault="00337EA5" w14:paraId="3419E94D" w14:textId="77777777"/>
        </w:tc>
        <w:tc>
          <w:tcPr>
            <w:tcW w:w="2779" w:type="dxa"/>
            <w:tcMar/>
          </w:tcPr>
          <w:p w:rsidRPr="008B31FE" w:rsidR="00337EA5" w:rsidP="00D30718" w:rsidRDefault="00337EA5" w14:paraId="6117FAE0" w14:textId="2EA80040">
            <w:pPr>
              <w:rPr>
                <w:sz w:val="20"/>
                <w:szCs w:val="20"/>
              </w:rPr>
            </w:pPr>
            <w:r>
              <w:rPr>
                <w:sz w:val="20"/>
                <w:szCs w:val="20"/>
              </w:rPr>
              <w:t>Are external assessments purposeful and is advice acted on and regularly reviewed with the team around the pupil?</w:t>
            </w:r>
          </w:p>
        </w:tc>
        <w:tc>
          <w:tcPr>
            <w:tcW w:w="1951" w:type="dxa"/>
            <w:tcMar/>
          </w:tcPr>
          <w:p w:rsidRPr="008B31FE" w:rsidR="00337EA5" w:rsidP="00D30718" w:rsidRDefault="00337EA5" w14:paraId="70003D49" w14:textId="5B7A985A">
            <w:pPr>
              <w:rPr>
                <w:sz w:val="20"/>
                <w:szCs w:val="20"/>
              </w:rPr>
            </w:pPr>
            <w:r>
              <w:rPr>
                <w:sz w:val="20"/>
                <w:szCs w:val="20"/>
              </w:rPr>
              <w:t>Best practice</w:t>
            </w:r>
          </w:p>
        </w:tc>
        <w:tc>
          <w:tcPr>
            <w:tcW w:w="1630" w:type="dxa"/>
            <w:tcMar/>
          </w:tcPr>
          <w:p w:rsidR="00337EA5" w:rsidP="00D30718" w:rsidRDefault="00337EA5" w14:paraId="543C1886" w14:textId="77777777"/>
        </w:tc>
        <w:tc>
          <w:tcPr>
            <w:tcW w:w="4739" w:type="dxa"/>
            <w:tcMar/>
          </w:tcPr>
          <w:p w:rsidR="00337EA5" w:rsidP="00D30718" w:rsidRDefault="00337EA5" w14:paraId="2085A206" w14:textId="77777777"/>
        </w:tc>
      </w:tr>
      <w:tr w:rsidR="007F4C65" w:rsidTr="70C67D0E" w14:paraId="11251DB9" w14:textId="77777777">
        <w:trPr>
          <w:trHeight w:val="220"/>
        </w:trPr>
        <w:tc>
          <w:tcPr>
            <w:tcW w:w="2778" w:type="dxa"/>
            <w:vMerge/>
            <w:tcMar/>
          </w:tcPr>
          <w:p w:rsidR="007F4C65" w:rsidP="00D30718" w:rsidRDefault="007F4C65" w14:paraId="633D92E2" w14:textId="77777777"/>
        </w:tc>
        <w:tc>
          <w:tcPr>
            <w:tcW w:w="2779" w:type="dxa"/>
            <w:tcMar/>
          </w:tcPr>
          <w:p w:rsidRPr="008B31FE" w:rsidR="007F4C65" w:rsidP="00D30718" w:rsidRDefault="007F4C65" w14:paraId="4C38C397" w14:textId="7DCB7162">
            <w:pPr>
              <w:rPr>
                <w:sz w:val="20"/>
                <w:szCs w:val="20"/>
              </w:rPr>
            </w:pPr>
            <w:r w:rsidRPr="008B31FE">
              <w:rPr>
                <w:sz w:val="20"/>
                <w:szCs w:val="20"/>
              </w:rPr>
              <w:t>Are parents aware of the SEND information report and the local offer and how to access additional information?</w:t>
            </w:r>
          </w:p>
        </w:tc>
        <w:tc>
          <w:tcPr>
            <w:tcW w:w="1951" w:type="dxa"/>
            <w:tcMar/>
          </w:tcPr>
          <w:p w:rsidRPr="008B31FE" w:rsidR="007F4C65" w:rsidP="00D30718" w:rsidRDefault="007F4C65" w14:paraId="38B44961" w14:textId="7D35380C">
            <w:pPr>
              <w:rPr>
                <w:sz w:val="20"/>
                <w:szCs w:val="20"/>
              </w:rPr>
            </w:pPr>
            <w:r w:rsidRPr="008B31FE">
              <w:rPr>
                <w:sz w:val="20"/>
                <w:szCs w:val="20"/>
              </w:rPr>
              <w:t>Best practice</w:t>
            </w:r>
          </w:p>
        </w:tc>
        <w:tc>
          <w:tcPr>
            <w:tcW w:w="1630" w:type="dxa"/>
            <w:tcMar/>
          </w:tcPr>
          <w:p w:rsidR="007F4C65" w:rsidP="00D30718" w:rsidRDefault="007F4C65" w14:paraId="776FD9B0" w14:textId="77777777"/>
        </w:tc>
        <w:tc>
          <w:tcPr>
            <w:tcW w:w="4739" w:type="dxa"/>
            <w:tcMar/>
          </w:tcPr>
          <w:p w:rsidR="007F4C65" w:rsidP="00D30718" w:rsidRDefault="007F4C65" w14:paraId="18FF31C5" w14:textId="77777777"/>
        </w:tc>
      </w:tr>
      <w:tr w:rsidR="00D27B3D" w:rsidTr="70C67D0E" w14:paraId="1F5F493B" w14:textId="77777777">
        <w:trPr>
          <w:trHeight w:val="220"/>
        </w:trPr>
        <w:tc>
          <w:tcPr>
            <w:tcW w:w="2778" w:type="dxa"/>
            <w:vMerge/>
            <w:tcMar/>
          </w:tcPr>
          <w:p w:rsidR="00D27B3D" w:rsidP="00D30718" w:rsidRDefault="00D27B3D" w14:paraId="3C38AB01" w14:textId="77777777"/>
        </w:tc>
        <w:tc>
          <w:tcPr>
            <w:tcW w:w="2779" w:type="dxa"/>
            <w:tcMar/>
          </w:tcPr>
          <w:p w:rsidRPr="008B31FE" w:rsidR="00D27B3D" w:rsidP="00D30718" w:rsidRDefault="4D9E9096" w14:paraId="650506D9" w14:textId="7453544B">
            <w:pPr>
              <w:rPr>
                <w:sz w:val="20"/>
                <w:szCs w:val="20"/>
              </w:rPr>
            </w:pPr>
            <w:r>
              <w:rPr>
                <w:color w:val="333333"/>
                <w:sz w:val="20"/>
                <w:szCs w:val="20"/>
                <w:shd w:val="clear" w:color="auto" w:fill="FFFFFF"/>
              </w:rPr>
              <w:t>Is there a regular</w:t>
            </w:r>
            <w:r w:rsidRPr="008B31FE" w:rsidR="11FC8F6F">
              <w:rPr>
                <w:color w:val="333333"/>
                <w:sz w:val="20"/>
                <w:szCs w:val="20"/>
                <w:shd w:val="clear" w:color="auto" w:fill="FFFFFF"/>
              </w:rPr>
              <w:t xml:space="preserve"> review</w:t>
            </w:r>
            <w:r>
              <w:rPr>
                <w:color w:val="333333"/>
                <w:sz w:val="20"/>
                <w:szCs w:val="20"/>
                <w:shd w:val="clear" w:color="auto" w:fill="FFFFFF"/>
              </w:rPr>
              <w:t xml:space="preserve"> of</w:t>
            </w:r>
            <w:r w:rsidRPr="008B31FE" w:rsidR="11FC8F6F">
              <w:rPr>
                <w:color w:val="333333"/>
                <w:sz w:val="20"/>
                <w:szCs w:val="20"/>
                <w:shd w:val="clear" w:color="auto" w:fill="FFFFFF"/>
              </w:rPr>
              <w:t xml:space="preserve"> the breadth and i</w:t>
            </w:r>
            <w:r>
              <w:rPr>
                <w:color w:val="333333"/>
                <w:sz w:val="20"/>
                <w:szCs w:val="20"/>
                <w:shd w:val="clear" w:color="auto" w:fill="FFFFFF"/>
              </w:rPr>
              <w:t>mpact of the SEND support</w:t>
            </w:r>
            <w:r w:rsidRPr="008B31FE" w:rsidR="11FC8F6F">
              <w:rPr>
                <w:color w:val="333333"/>
                <w:sz w:val="20"/>
                <w:szCs w:val="20"/>
                <w:shd w:val="clear" w:color="auto" w:fill="FFFFFF"/>
              </w:rPr>
              <w:t xml:space="preserve"> offer</w:t>
            </w:r>
            <w:r>
              <w:rPr>
                <w:color w:val="333333"/>
                <w:sz w:val="20"/>
                <w:szCs w:val="20"/>
                <w:shd w:val="clear" w:color="auto" w:fill="FFFFFF"/>
              </w:rPr>
              <w:t>ed</w:t>
            </w:r>
            <w:r w:rsidRPr="008B31FE" w:rsidR="11FC8F6F">
              <w:rPr>
                <w:color w:val="333333"/>
                <w:sz w:val="20"/>
                <w:szCs w:val="20"/>
                <w:shd w:val="clear" w:color="auto" w:fill="FFFFFF"/>
              </w:rPr>
              <w:t xml:space="preserve"> or access</w:t>
            </w:r>
            <w:r>
              <w:rPr>
                <w:color w:val="333333"/>
                <w:sz w:val="20"/>
                <w:szCs w:val="20"/>
                <w:shd w:val="clear" w:color="auto" w:fill="FFFFFF"/>
              </w:rPr>
              <w:t>ed</w:t>
            </w:r>
            <w:r w:rsidR="3260D424">
              <w:rPr>
                <w:color w:val="333333"/>
                <w:sz w:val="20"/>
                <w:szCs w:val="20"/>
                <w:shd w:val="clear" w:color="auto" w:fill="FFFFFF"/>
              </w:rPr>
              <w:t>? Are</w:t>
            </w:r>
            <w:r w:rsidRPr="008B31FE" w:rsidR="11FC8F6F">
              <w:rPr>
                <w:color w:val="333333"/>
                <w:sz w:val="20"/>
                <w:szCs w:val="20"/>
                <w:shd w:val="clear" w:color="auto" w:fill="FFFFFF"/>
              </w:rPr>
              <w:t xml:space="preserve"> other local providers </w:t>
            </w:r>
            <w:r w:rsidR="3260D424">
              <w:rPr>
                <w:color w:val="333333"/>
                <w:sz w:val="20"/>
                <w:szCs w:val="20"/>
                <w:shd w:val="clear" w:color="auto" w:fill="FFFFFF"/>
              </w:rPr>
              <w:t xml:space="preserve">involved </w:t>
            </w:r>
            <w:r w:rsidRPr="008B31FE" w:rsidR="11FC8F6F">
              <w:rPr>
                <w:color w:val="333333"/>
                <w:sz w:val="20"/>
                <w:szCs w:val="20"/>
                <w:shd w:val="clear" w:color="auto" w:fill="FFFFFF"/>
              </w:rPr>
              <w:t>to explore ways of meeting pupils' needs effectively?</w:t>
            </w:r>
          </w:p>
        </w:tc>
        <w:tc>
          <w:tcPr>
            <w:tcW w:w="1951" w:type="dxa"/>
            <w:tcMar/>
          </w:tcPr>
          <w:p w:rsidRPr="008B31FE" w:rsidR="00D27B3D" w:rsidP="00D30718" w:rsidRDefault="00D27B3D" w14:paraId="0CE4A999" w14:textId="3007E1B8">
            <w:pPr>
              <w:rPr>
                <w:sz w:val="20"/>
                <w:szCs w:val="20"/>
              </w:rPr>
            </w:pPr>
            <w:r w:rsidRPr="008B31FE">
              <w:rPr>
                <w:sz w:val="20"/>
                <w:szCs w:val="20"/>
              </w:rPr>
              <w:t>Strongly recommended</w:t>
            </w:r>
          </w:p>
        </w:tc>
        <w:tc>
          <w:tcPr>
            <w:tcW w:w="1630" w:type="dxa"/>
            <w:tcMar/>
          </w:tcPr>
          <w:p w:rsidR="00D27B3D" w:rsidP="00D30718" w:rsidRDefault="00D27B3D" w14:paraId="3B4B023D" w14:textId="77777777"/>
        </w:tc>
        <w:tc>
          <w:tcPr>
            <w:tcW w:w="4739" w:type="dxa"/>
            <w:tcMar/>
          </w:tcPr>
          <w:p w:rsidR="00D27B3D" w:rsidP="00D30718" w:rsidRDefault="00D27B3D" w14:paraId="47A1A5B7" w14:textId="77777777"/>
        </w:tc>
      </w:tr>
      <w:tr w:rsidR="004A2F02" w:rsidTr="70C67D0E" w14:paraId="378AB5A2" w14:textId="77777777">
        <w:trPr>
          <w:trHeight w:val="220"/>
        </w:trPr>
        <w:tc>
          <w:tcPr>
            <w:tcW w:w="2778" w:type="dxa"/>
            <w:vMerge/>
            <w:tcMar/>
          </w:tcPr>
          <w:p w:rsidR="004A2F02" w:rsidP="00D30718" w:rsidRDefault="004A2F02" w14:paraId="13CD70EF" w14:textId="77777777"/>
        </w:tc>
        <w:tc>
          <w:tcPr>
            <w:tcW w:w="2779" w:type="dxa"/>
            <w:tcMar/>
          </w:tcPr>
          <w:p w:rsidRPr="008B31FE" w:rsidR="004A2F02" w:rsidP="00D30718" w:rsidRDefault="002C704F" w14:paraId="4B724EC0" w14:textId="215C3216">
            <w:pPr>
              <w:rPr>
                <w:rFonts w:eastAsia="MS Mincho" w:cs="Times New Roman"/>
                <w:sz w:val="20"/>
                <w:szCs w:val="20"/>
              </w:rPr>
            </w:pPr>
            <w:r w:rsidRPr="008B31FE">
              <w:rPr>
                <w:sz w:val="20"/>
                <w:szCs w:val="20"/>
              </w:rPr>
              <w:t>Does the designated teacher for looked after children work closely with the SENCO to ensure that the implications of a child being both looked after and having SEND are fully understood by relevant school staff?</w:t>
            </w:r>
          </w:p>
        </w:tc>
        <w:tc>
          <w:tcPr>
            <w:tcW w:w="1951" w:type="dxa"/>
            <w:tcMar/>
          </w:tcPr>
          <w:p w:rsidRPr="008B31FE" w:rsidR="004A2F02" w:rsidP="00D30718" w:rsidRDefault="002C704F" w14:paraId="7B43F1FD" w14:textId="3537E78B">
            <w:pPr>
              <w:rPr>
                <w:sz w:val="20"/>
                <w:szCs w:val="20"/>
              </w:rPr>
            </w:pPr>
            <w:r w:rsidRPr="008B31FE">
              <w:rPr>
                <w:sz w:val="20"/>
                <w:szCs w:val="20"/>
              </w:rPr>
              <w:t>Strongly recommended</w:t>
            </w:r>
          </w:p>
        </w:tc>
        <w:tc>
          <w:tcPr>
            <w:tcW w:w="1630" w:type="dxa"/>
            <w:tcMar/>
          </w:tcPr>
          <w:p w:rsidR="004A2F02" w:rsidP="00D30718" w:rsidRDefault="004A2F02" w14:paraId="78A779BB" w14:textId="77777777"/>
        </w:tc>
        <w:tc>
          <w:tcPr>
            <w:tcW w:w="4739" w:type="dxa"/>
            <w:tcMar/>
          </w:tcPr>
          <w:p w:rsidRPr="008B31FE" w:rsidR="004A2F02" w:rsidP="488D3157" w:rsidRDefault="330D64F0" w14:paraId="4BF600D4" w14:textId="5D9C21D5">
            <w:pPr>
              <w:rPr>
                <w:i/>
                <w:iCs/>
                <w:sz w:val="20"/>
                <w:szCs w:val="20"/>
              </w:rPr>
            </w:pPr>
            <w:r w:rsidRPr="488D3157">
              <w:rPr>
                <w:i/>
                <w:iCs/>
                <w:sz w:val="20"/>
                <w:szCs w:val="20"/>
                <w:shd w:val="clear" w:color="auto" w:fill="FFFFFF"/>
              </w:rPr>
              <w:t>All maintained schools, academies and free schools must appoint a designated teacher for looked after children. This role may be carried out by the SENCO.</w:t>
            </w:r>
          </w:p>
        </w:tc>
      </w:tr>
      <w:tr w:rsidR="004A2F02" w:rsidTr="70C67D0E" w14:paraId="6DD9AABC" w14:textId="77777777">
        <w:trPr>
          <w:trHeight w:val="220"/>
        </w:trPr>
        <w:tc>
          <w:tcPr>
            <w:tcW w:w="2778" w:type="dxa"/>
            <w:vMerge/>
            <w:tcMar/>
          </w:tcPr>
          <w:p w:rsidR="004A2F02" w:rsidP="00D30718" w:rsidRDefault="004A2F02" w14:paraId="5F66E1EA" w14:textId="77777777"/>
        </w:tc>
        <w:tc>
          <w:tcPr>
            <w:tcW w:w="2779" w:type="dxa"/>
            <w:tcMar/>
          </w:tcPr>
          <w:p w:rsidRPr="008B31FE" w:rsidR="004A2F02" w:rsidP="00D30718" w:rsidRDefault="00C21792" w14:paraId="08F5B497" w14:textId="242A616F">
            <w:pPr>
              <w:rPr>
                <w:rFonts w:eastAsia="MS Mincho" w:cs="Times New Roman"/>
                <w:sz w:val="20"/>
                <w:szCs w:val="20"/>
              </w:rPr>
            </w:pPr>
            <w:r w:rsidRPr="008B31FE">
              <w:rPr>
                <w:sz w:val="20"/>
                <w:szCs w:val="20"/>
              </w:rPr>
              <w:t>Do we support the SENCO and give them sufficient time and resources to fulfil all of their responsibilities?</w:t>
            </w:r>
          </w:p>
        </w:tc>
        <w:tc>
          <w:tcPr>
            <w:tcW w:w="1951" w:type="dxa"/>
            <w:tcMar/>
          </w:tcPr>
          <w:p w:rsidRPr="008B31FE" w:rsidR="004A2F02" w:rsidP="00D30718" w:rsidRDefault="00C21792" w14:paraId="551DAB84" w14:textId="508FE814">
            <w:pPr>
              <w:rPr>
                <w:sz w:val="20"/>
                <w:szCs w:val="20"/>
              </w:rPr>
            </w:pPr>
            <w:r w:rsidRPr="008B31FE">
              <w:rPr>
                <w:sz w:val="20"/>
                <w:szCs w:val="20"/>
              </w:rPr>
              <w:t>Strongly recommended</w:t>
            </w:r>
          </w:p>
        </w:tc>
        <w:tc>
          <w:tcPr>
            <w:tcW w:w="1630" w:type="dxa"/>
            <w:tcMar/>
          </w:tcPr>
          <w:p w:rsidR="004A2F02" w:rsidP="00D30718" w:rsidRDefault="004A2F02" w14:paraId="6E49DCAA" w14:textId="77777777"/>
        </w:tc>
        <w:tc>
          <w:tcPr>
            <w:tcW w:w="4739" w:type="dxa"/>
            <w:tcMar/>
          </w:tcPr>
          <w:p w:rsidR="004A2F02" w:rsidP="00D30718" w:rsidRDefault="004A2F02" w14:paraId="22A34D50" w14:textId="77777777"/>
        </w:tc>
      </w:tr>
      <w:tr w:rsidR="00BD709F" w:rsidTr="70C67D0E" w14:paraId="431D710A" w14:textId="77777777">
        <w:trPr>
          <w:trHeight w:val="1930"/>
        </w:trPr>
        <w:tc>
          <w:tcPr>
            <w:tcW w:w="2778" w:type="dxa"/>
            <w:vMerge w:val="restart"/>
            <w:shd w:val="clear" w:color="auto" w:fill="FE8CE8"/>
            <w:tcMar/>
          </w:tcPr>
          <w:p w:rsidR="00BD709F" w:rsidP="00D30718" w:rsidRDefault="00BD709F" w14:paraId="5277E2BC" w14:textId="77777777">
            <w:r>
              <w:t>4 Use targeted support and interventions to supplement high quality teaching</w:t>
            </w:r>
          </w:p>
        </w:tc>
        <w:tc>
          <w:tcPr>
            <w:tcW w:w="2779" w:type="dxa"/>
            <w:tcMar/>
          </w:tcPr>
          <w:p w:rsidRPr="00785789" w:rsidR="00BD709F" w:rsidP="00785789" w:rsidRDefault="00BD709F" w14:paraId="1B658BE3" w14:textId="7E0F292B">
            <w:pPr>
              <w:rPr>
                <w:sz w:val="20"/>
                <w:szCs w:val="20"/>
              </w:rPr>
            </w:pPr>
            <w:r w:rsidRPr="00BD0443">
              <w:rPr>
                <w:sz w:val="20"/>
                <w:szCs w:val="20"/>
              </w:rPr>
              <w:t>Is the quality of teaching for pupils with SEND, and the progress mad</w:t>
            </w:r>
            <w:r w:rsidR="00785789">
              <w:rPr>
                <w:sz w:val="20"/>
                <w:szCs w:val="20"/>
              </w:rPr>
              <w:t xml:space="preserve">e by pupils, a core part of </w:t>
            </w:r>
            <w:r w:rsidRPr="00BD0443">
              <w:rPr>
                <w:sz w:val="20"/>
                <w:szCs w:val="20"/>
              </w:rPr>
              <w:t>professional development for all teaching and support staff?</w:t>
            </w:r>
          </w:p>
        </w:tc>
        <w:tc>
          <w:tcPr>
            <w:tcW w:w="1951" w:type="dxa"/>
            <w:tcMar/>
          </w:tcPr>
          <w:p w:rsidRPr="00BD0443" w:rsidR="00BD709F" w:rsidP="00D30718" w:rsidRDefault="00BD709F" w14:paraId="172A6A34" w14:textId="77777777">
            <w:pPr>
              <w:rPr>
                <w:sz w:val="20"/>
                <w:szCs w:val="20"/>
              </w:rPr>
            </w:pPr>
            <w:r w:rsidRPr="00BD0443">
              <w:rPr>
                <w:sz w:val="20"/>
                <w:szCs w:val="20"/>
              </w:rPr>
              <w:t>Strongly recommended</w:t>
            </w:r>
          </w:p>
        </w:tc>
        <w:tc>
          <w:tcPr>
            <w:tcW w:w="1630" w:type="dxa"/>
            <w:tcMar/>
          </w:tcPr>
          <w:p w:rsidR="00BD709F" w:rsidP="00D30718" w:rsidRDefault="00BD709F" w14:paraId="5139017D" w14:textId="77777777"/>
        </w:tc>
        <w:tc>
          <w:tcPr>
            <w:tcW w:w="4739" w:type="dxa"/>
            <w:tcMar/>
          </w:tcPr>
          <w:p w:rsidR="00BD709F" w:rsidP="00D30718" w:rsidRDefault="00BD709F" w14:paraId="12FB05E2" w14:textId="77777777"/>
        </w:tc>
      </w:tr>
      <w:tr w:rsidR="00BD709F" w:rsidTr="70C67D0E" w14:paraId="4A306551" w14:textId="77777777">
        <w:trPr>
          <w:trHeight w:val="485"/>
        </w:trPr>
        <w:tc>
          <w:tcPr>
            <w:tcW w:w="2778" w:type="dxa"/>
            <w:vMerge/>
            <w:tcMar/>
          </w:tcPr>
          <w:p w:rsidR="00BD709F" w:rsidP="00D30718" w:rsidRDefault="00BD709F" w14:paraId="27B608D5" w14:textId="77777777"/>
        </w:tc>
        <w:tc>
          <w:tcPr>
            <w:tcW w:w="2779" w:type="dxa"/>
            <w:tcMar/>
          </w:tcPr>
          <w:p w:rsidRPr="00BD0443" w:rsidR="00BD709F" w:rsidP="00D30718" w:rsidRDefault="35D6540D" w14:paraId="0D7DA069" w14:textId="5CC30F16">
            <w:pPr>
              <w:rPr>
                <w:sz w:val="20"/>
                <w:szCs w:val="20"/>
              </w:rPr>
            </w:pPr>
            <w:r w:rsidRPr="00BD0443">
              <w:rPr>
                <w:sz w:val="20"/>
                <w:szCs w:val="20"/>
                <w:shd w:val="clear" w:color="auto" w:fill="FFFFFF"/>
              </w:rPr>
              <w:t>Do teaching and support staff work effectively together?</w:t>
            </w:r>
          </w:p>
        </w:tc>
        <w:tc>
          <w:tcPr>
            <w:tcW w:w="1951" w:type="dxa"/>
            <w:tcMar/>
          </w:tcPr>
          <w:p w:rsidRPr="00BD0443" w:rsidR="00BD709F" w:rsidP="00D30718" w:rsidRDefault="00BD709F" w14:paraId="277F8522" w14:textId="330B2126">
            <w:pPr>
              <w:rPr>
                <w:sz w:val="20"/>
                <w:szCs w:val="20"/>
              </w:rPr>
            </w:pPr>
            <w:r w:rsidRPr="00BD0443">
              <w:rPr>
                <w:sz w:val="20"/>
                <w:szCs w:val="20"/>
              </w:rPr>
              <w:t>Best practice</w:t>
            </w:r>
          </w:p>
        </w:tc>
        <w:tc>
          <w:tcPr>
            <w:tcW w:w="1630" w:type="dxa"/>
            <w:tcMar/>
          </w:tcPr>
          <w:p w:rsidR="00BD709F" w:rsidP="00D30718" w:rsidRDefault="00BD709F" w14:paraId="62232A8A" w14:textId="77777777"/>
        </w:tc>
        <w:tc>
          <w:tcPr>
            <w:tcW w:w="4739" w:type="dxa"/>
            <w:tcMar/>
          </w:tcPr>
          <w:p w:rsidR="00BD709F" w:rsidP="488D3157" w:rsidRDefault="00BD709F" w14:paraId="3156AEFD" w14:textId="77777777">
            <w:pPr>
              <w:rPr>
                <w:i/>
                <w:iCs/>
                <w:sz w:val="20"/>
                <w:szCs w:val="20"/>
              </w:rPr>
            </w:pPr>
            <w:r w:rsidRPr="488D3157">
              <w:rPr>
                <w:i/>
                <w:iCs/>
                <w:sz w:val="20"/>
                <w:szCs w:val="20"/>
              </w:rPr>
              <w:t xml:space="preserve">Southwark recommends the </w:t>
            </w:r>
            <w:hyperlink r:id="rId12">
              <w:r w:rsidRPr="488D3157">
                <w:rPr>
                  <w:rStyle w:val="Hyperlink"/>
                  <w:i/>
                  <w:iCs/>
                  <w:sz w:val="20"/>
                  <w:szCs w:val="20"/>
                </w:rPr>
                <w:t>‘making best use of TAs’ model’</w:t>
              </w:r>
            </w:hyperlink>
          </w:p>
          <w:p w:rsidR="00BD709F" w:rsidP="00D30718" w:rsidRDefault="00BD709F" w14:paraId="10482C7F" w14:textId="77777777">
            <w:pPr>
              <w:rPr>
                <w:sz w:val="20"/>
                <w:szCs w:val="20"/>
              </w:rPr>
            </w:pPr>
          </w:p>
          <w:p w:rsidRPr="00FB4F96" w:rsidR="00BD709F" w:rsidP="00D30718" w:rsidRDefault="00BD709F" w14:paraId="7A23CB05" w14:textId="6583E72A">
            <w:pPr>
              <w:rPr>
                <w:sz w:val="20"/>
                <w:szCs w:val="20"/>
              </w:rPr>
            </w:pPr>
          </w:p>
        </w:tc>
      </w:tr>
      <w:tr w:rsidR="00BD709F" w:rsidTr="70C67D0E" w14:paraId="1F89D085" w14:textId="77777777">
        <w:trPr>
          <w:trHeight w:val="460"/>
        </w:trPr>
        <w:tc>
          <w:tcPr>
            <w:tcW w:w="2778" w:type="dxa"/>
            <w:vMerge/>
            <w:tcMar/>
          </w:tcPr>
          <w:p w:rsidR="00BD709F" w:rsidP="00D30718" w:rsidRDefault="00BD709F" w14:paraId="0D66D325" w14:textId="77777777"/>
        </w:tc>
        <w:tc>
          <w:tcPr>
            <w:tcW w:w="2779" w:type="dxa"/>
            <w:tcMar/>
          </w:tcPr>
          <w:p w:rsidRPr="00BD0443" w:rsidR="00BD709F" w:rsidP="00D30718" w:rsidRDefault="35D6540D" w14:paraId="3CBEDCDA" w14:textId="29F407F9">
            <w:pPr>
              <w:rPr>
                <w:sz w:val="20"/>
                <w:szCs w:val="20"/>
                <w:shd w:val="clear" w:color="auto" w:fill="FFFFFF"/>
              </w:rPr>
            </w:pPr>
            <w:r>
              <w:rPr>
                <w:sz w:val="20"/>
                <w:szCs w:val="20"/>
                <w:shd w:val="clear" w:color="auto" w:fill="FFFFFF"/>
              </w:rPr>
              <w:t xml:space="preserve">Is there a continuous drive to deliver HQT and reduce the need for tier 2 and 3 support? </w:t>
            </w:r>
          </w:p>
        </w:tc>
        <w:tc>
          <w:tcPr>
            <w:tcW w:w="1951" w:type="dxa"/>
            <w:tcMar/>
          </w:tcPr>
          <w:p w:rsidRPr="00BD0443" w:rsidR="00BD709F" w:rsidP="00D30718" w:rsidRDefault="00BD709F" w14:paraId="012B69B2" w14:textId="61D88002">
            <w:pPr>
              <w:rPr>
                <w:sz w:val="20"/>
                <w:szCs w:val="20"/>
              </w:rPr>
            </w:pPr>
            <w:r>
              <w:rPr>
                <w:sz w:val="20"/>
                <w:szCs w:val="20"/>
              </w:rPr>
              <w:t>Strongly recommended</w:t>
            </w:r>
          </w:p>
        </w:tc>
        <w:tc>
          <w:tcPr>
            <w:tcW w:w="1630" w:type="dxa"/>
            <w:tcMar/>
          </w:tcPr>
          <w:p w:rsidR="00BD709F" w:rsidP="00D30718" w:rsidRDefault="00BD709F" w14:paraId="7982849D" w14:textId="3D1773A1"/>
        </w:tc>
        <w:tc>
          <w:tcPr>
            <w:tcW w:w="4739" w:type="dxa"/>
            <w:tcMar/>
          </w:tcPr>
          <w:p w:rsidR="00BD709F" w:rsidP="00D30718" w:rsidRDefault="00BD709F" w14:paraId="1F2668A9" w14:textId="77777777">
            <w:pPr>
              <w:rPr>
                <w:sz w:val="20"/>
                <w:szCs w:val="20"/>
              </w:rPr>
            </w:pPr>
          </w:p>
        </w:tc>
      </w:tr>
      <w:tr w:rsidR="00BD709F" w:rsidTr="70C67D0E" w14:paraId="4DF50BD4" w14:textId="77777777">
        <w:trPr>
          <w:trHeight w:val="230"/>
        </w:trPr>
        <w:tc>
          <w:tcPr>
            <w:tcW w:w="2778" w:type="dxa"/>
            <w:vMerge/>
            <w:tcMar/>
          </w:tcPr>
          <w:p w:rsidR="00BD709F" w:rsidP="00D30718" w:rsidRDefault="00BD709F" w14:paraId="327844AF" w14:textId="77777777"/>
        </w:tc>
        <w:tc>
          <w:tcPr>
            <w:tcW w:w="2779" w:type="dxa"/>
            <w:tcMar/>
          </w:tcPr>
          <w:p w:rsidR="00BD709F" w:rsidP="00D30718" w:rsidRDefault="35D6540D" w14:paraId="4AEFC17E" w14:textId="4BCDA7BA">
            <w:pPr>
              <w:rPr>
                <w:sz w:val="20"/>
                <w:szCs w:val="20"/>
                <w:shd w:val="clear" w:color="auto" w:fill="FFFFFF"/>
              </w:rPr>
            </w:pPr>
            <w:r>
              <w:rPr>
                <w:sz w:val="20"/>
                <w:szCs w:val="20"/>
                <w:shd w:val="clear" w:color="auto" w:fill="FFFFFF"/>
              </w:rPr>
              <w:t>Are interventions carefully chosen and well structured?</w:t>
            </w:r>
          </w:p>
        </w:tc>
        <w:tc>
          <w:tcPr>
            <w:tcW w:w="1951" w:type="dxa"/>
            <w:tcMar/>
          </w:tcPr>
          <w:p w:rsidRPr="00BD0443" w:rsidR="00BD709F" w:rsidP="00D30718" w:rsidRDefault="00BD709F" w14:paraId="6ADEE965" w14:textId="627CFFC6">
            <w:pPr>
              <w:rPr>
                <w:sz w:val="20"/>
                <w:szCs w:val="20"/>
              </w:rPr>
            </w:pPr>
            <w:r>
              <w:rPr>
                <w:sz w:val="20"/>
                <w:szCs w:val="20"/>
              </w:rPr>
              <w:t>Strongly recommended</w:t>
            </w:r>
          </w:p>
        </w:tc>
        <w:tc>
          <w:tcPr>
            <w:tcW w:w="1630" w:type="dxa"/>
            <w:tcMar/>
          </w:tcPr>
          <w:p w:rsidR="00BD709F" w:rsidP="00D30718" w:rsidRDefault="00BD709F" w14:paraId="04ACB3BE" w14:textId="021765EB"/>
        </w:tc>
        <w:tc>
          <w:tcPr>
            <w:tcW w:w="4739" w:type="dxa"/>
            <w:tcMar/>
          </w:tcPr>
          <w:p w:rsidR="00BD709F" w:rsidP="00D30718" w:rsidRDefault="00BD709F" w14:paraId="707830CD" w14:textId="77777777">
            <w:pPr>
              <w:rPr>
                <w:sz w:val="20"/>
                <w:szCs w:val="20"/>
                <w:shd w:val="clear" w:color="auto" w:fill="FFFFFF"/>
              </w:rPr>
            </w:pPr>
          </w:p>
        </w:tc>
      </w:tr>
      <w:tr w:rsidR="00BD709F" w:rsidTr="70C67D0E" w14:paraId="68AAE106" w14:textId="77777777">
        <w:trPr>
          <w:trHeight w:val="230"/>
        </w:trPr>
        <w:tc>
          <w:tcPr>
            <w:tcW w:w="2778" w:type="dxa"/>
            <w:vMerge/>
            <w:tcMar/>
          </w:tcPr>
          <w:p w:rsidR="00BD709F" w:rsidP="00D30718" w:rsidRDefault="00BD709F" w14:paraId="4E0834CE" w14:textId="77777777"/>
        </w:tc>
        <w:tc>
          <w:tcPr>
            <w:tcW w:w="2779" w:type="dxa"/>
            <w:tcMar/>
          </w:tcPr>
          <w:p w:rsidR="00BD709F" w:rsidP="00D30718" w:rsidRDefault="35D6540D" w14:paraId="2BDEA359" w14:textId="4E141AD0">
            <w:pPr>
              <w:rPr>
                <w:sz w:val="20"/>
                <w:szCs w:val="20"/>
                <w:shd w:val="clear" w:color="auto" w:fill="FFFFFF"/>
              </w:rPr>
            </w:pPr>
            <w:r>
              <w:rPr>
                <w:sz w:val="20"/>
                <w:szCs w:val="20"/>
                <w:shd w:val="clear" w:color="auto" w:fill="FFFFFF"/>
              </w:rPr>
              <w:t>If pupils do spend time away from the class how is this learning revisited or re-enforced in the classroom?</w:t>
            </w:r>
          </w:p>
        </w:tc>
        <w:tc>
          <w:tcPr>
            <w:tcW w:w="1951" w:type="dxa"/>
            <w:tcMar/>
          </w:tcPr>
          <w:p w:rsidR="00BD709F" w:rsidP="00D30718" w:rsidRDefault="00BD709F" w14:paraId="172D5604" w14:textId="4AB2BC40">
            <w:pPr>
              <w:rPr>
                <w:sz w:val="20"/>
                <w:szCs w:val="20"/>
              </w:rPr>
            </w:pPr>
            <w:r>
              <w:rPr>
                <w:sz w:val="20"/>
                <w:szCs w:val="20"/>
              </w:rPr>
              <w:t>Best practice</w:t>
            </w:r>
          </w:p>
        </w:tc>
        <w:tc>
          <w:tcPr>
            <w:tcW w:w="1630" w:type="dxa"/>
            <w:tcMar/>
          </w:tcPr>
          <w:p w:rsidR="00BD709F" w:rsidP="00D30718" w:rsidRDefault="00BD709F" w14:paraId="41499246" w14:textId="4F5D94CF"/>
        </w:tc>
        <w:tc>
          <w:tcPr>
            <w:tcW w:w="4739" w:type="dxa"/>
            <w:tcMar/>
          </w:tcPr>
          <w:p w:rsidR="00BD709F" w:rsidP="00D30718" w:rsidRDefault="00BD709F" w14:paraId="3E7D5176" w14:textId="77777777">
            <w:pPr>
              <w:rPr>
                <w:sz w:val="20"/>
                <w:szCs w:val="20"/>
                <w:shd w:val="clear" w:color="auto" w:fill="FFFFFF"/>
              </w:rPr>
            </w:pPr>
          </w:p>
        </w:tc>
      </w:tr>
      <w:tr w:rsidR="00BD709F" w:rsidTr="70C67D0E" w14:paraId="55FBD604" w14:textId="77777777">
        <w:trPr>
          <w:trHeight w:val="965"/>
        </w:trPr>
        <w:tc>
          <w:tcPr>
            <w:tcW w:w="2778" w:type="dxa"/>
            <w:vMerge/>
            <w:tcMar/>
          </w:tcPr>
          <w:p w:rsidR="00BD709F" w:rsidP="00D30718" w:rsidRDefault="00BD709F" w14:paraId="60482221" w14:textId="77777777"/>
        </w:tc>
        <w:tc>
          <w:tcPr>
            <w:tcW w:w="2779" w:type="dxa"/>
            <w:tcMar/>
          </w:tcPr>
          <w:p w:rsidRPr="00BD0443" w:rsidR="00BD709F" w:rsidP="00D30718" w:rsidRDefault="35D6540D" w14:paraId="4A5222D4" w14:textId="059B9608">
            <w:pPr>
              <w:rPr>
                <w:sz w:val="20"/>
                <w:szCs w:val="20"/>
                <w:shd w:val="clear" w:color="auto" w:fill="FFFFFF"/>
              </w:rPr>
            </w:pPr>
            <w:r>
              <w:rPr>
                <w:sz w:val="20"/>
                <w:szCs w:val="20"/>
                <w:shd w:val="clear" w:color="auto" w:fill="FFFFFF"/>
              </w:rPr>
              <w:t>Does the SENCo have a strategic overview of SEND and is empowered to make decisions?</w:t>
            </w:r>
          </w:p>
        </w:tc>
        <w:tc>
          <w:tcPr>
            <w:tcW w:w="1951" w:type="dxa"/>
            <w:tcMar/>
          </w:tcPr>
          <w:p w:rsidRPr="00BD0443" w:rsidR="00BD709F" w:rsidP="00D30718" w:rsidRDefault="00BD709F" w14:paraId="4C0F0CDC" w14:textId="7E877BF6">
            <w:pPr>
              <w:rPr>
                <w:sz w:val="20"/>
                <w:szCs w:val="20"/>
              </w:rPr>
            </w:pPr>
            <w:r>
              <w:rPr>
                <w:sz w:val="20"/>
                <w:szCs w:val="20"/>
              </w:rPr>
              <w:t>Best practice</w:t>
            </w:r>
          </w:p>
        </w:tc>
        <w:tc>
          <w:tcPr>
            <w:tcW w:w="1630" w:type="dxa"/>
            <w:tcMar/>
          </w:tcPr>
          <w:p w:rsidR="00BD709F" w:rsidP="00D30718" w:rsidRDefault="00BD709F" w14:paraId="786D38B3" w14:textId="554845B0"/>
        </w:tc>
        <w:tc>
          <w:tcPr>
            <w:tcW w:w="4739" w:type="dxa"/>
            <w:tcMar/>
          </w:tcPr>
          <w:p w:rsidR="00BD709F" w:rsidP="00D30718" w:rsidRDefault="00BD709F" w14:paraId="112510A2" w14:textId="77777777">
            <w:pPr>
              <w:rPr>
                <w:sz w:val="20"/>
                <w:szCs w:val="20"/>
              </w:rPr>
            </w:pPr>
          </w:p>
        </w:tc>
      </w:tr>
      <w:tr w:rsidR="00BD709F" w:rsidTr="70C67D0E" w14:paraId="6940B839" w14:textId="77777777">
        <w:trPr>
          <w:trHeight w:val="1930"/>
        </w:trPr>
        <w:tc>
          <w:tcPr>
            <w:tcW w:w="2778" w:type="dxa"/>
            <w:vMerge/>
            <w:tcMar/>
          </w:tcPr>
          <w:p w:rsidR="00BD709F" w:rsidP="00D30718" w:rsidRDefault="00BD709F" w14:paraId="04574725" w14:textId="77777777"/>
        </w:tc>
        <w:tc>
          <w:tcPr>
            <w:tcW w:w="2779" w:type="dxa"/>
            <w:tcMar/>
          </w:tcPr>
          <w:p w:rsidRPr="00BD0443" w:rsidR="00BD709F" w:rsidP="00B2124D" w:rsidRDefault="35D6540D" w14:paraId="6F0844B2" w14:textId="60B842D0">
            <w:pPr>
              <w:rPr>
                <w:sz w:val="20"/>
                <w:szCs w:val="20"/>
              </w:rPr>
            </w:pPr>
            <w:r w:rsidRPr="00BD0443">
              <w:rPr>
                <w:sz w:val="20"/>
                <w:szCs w:val="20"/>
                <w:shd w:val="clear" w:color="auto" w:fill="FFFFFF"/>
              </w:rPr>
              <w:t>Are all support staff deployed effectively to support pupils’ learning and progress?</w:t>
            </w:r>
            <w:r>
              <w:rPr>
                <w:sz w:val="20"/>
                <w:szCs w:val="20"/>
                <w:shd w:val="clear" w:color="auto" w:fill="FFFFFF"/>
              </w:rPr>
              <w:t xml:space="preserve"> Do support staff have regular access to high quality training, including for complex needs.</w:t>
            </w:r>
          </w:p>
        </w:tc>
        <w:tc>
          <w:tcPr>
            <w:tcW w:w="1951" w:type="dxa"/>
            <w:tcMar/>
          </w:tcPr>
          <w:p w:rsidRPr="00BD0443" w:rsidR="00BD709F" w:rsidP="00D30718" w:rsidRDefault="00BD709F" w14:paraId="78BF597A" w14:textId="5709226B">
            <w:pPr>
              <w:rPr>
                <w:sz w:val="20"/>
                <w:szCs w:val="20"/>
              </w:rPr>
            </w:pPr>
            <w:r w:rsidRPr="00BD0443">
              <w:rPr>
                <w:sz w:val="20"/>
                <w:szCs w:val="20"/>
              </w:rPr>
              <w:t>Best practice</w:t>
            </w:r>
          </w:p>
        </w:tc>
        <w:tc>
          <w:tcPr>
            <w:tcW w:w="1630" w:type="dxa"/>
            <w:tcMar/>
          </w:tcPr>
          <w:p w:rsidR="00BD709F" w:rsidP="00D30718" w:rsidRDefault="00BD709F" w14:paraId="5FD89A00" w14:textId="47E7F1FC"/>
        </w:tc>
        <w:tc>
          <w:tcPr>
            <w:tcW w:w="4739" w:type="dxa"/>
            <w:tcMar/>
          </w:tcPr>
          <w:p w:rsidRPr="00FB4F96" w:rsidR="00BD709F" w:rsidP="488D3157" w:rsidRDefault="00BD709F" w14:paraId="15D9C6D1" w14:textId="04982DBF">
            <w:pPr>
              <w:autoSpaceDE w:val="0"/>
              <w:autoSpaceDN w:val="0"/>
              <w:adjustRightInd w:val="0"/>
              <w:rPr>
                <w:rFonts w:cs="Arial"/>
                <w:i/>
                <w:iCs/>
                <w:color w:val="000000"/>
                <w:sz w:val="20"/>
                <w:szCs w:val="20"/>
              </w:rPr>
            </w:pPr>
            <w:r w:rsidRPr="488D3157">
              <w:rPr>
                <w:rFonts w:cs="Arial"/>
                <w:i/>
                <w:iCs/>
                <w:sz w:val="20"/>
                <w:szCs w:val="20"/>
              </w:rPr>
              <w:t>Nasen offer a range of online continued professional development and learning (CPDL) for teachers and support staff.</w:t>
            </w:r>
          </w:p>
          <w:p w:rsidRPr="00FB4F96" w:rsidR="00BD709F" w:rsidP="488D3157" w:rsidRDefault="00BD709F" w14:paraId="1398D56F" w14:textId="1CF503F7">
            <w:pPr>
              <w:rPr>
                <w:i/>
                <w:iCs/>
                <w:sz w:val="20"/>
                <w:szCs w:val="20"/>
              </w:rPr>
            </w:pPr>
            <w:hyperlink r:id="rId13">
              <w:r w:rsidRPr="488D3157">
                <w:rPr>
                  <w:rStyle w:val="Hyperlink"/>
                  <w:i/>
                  <w:iCs/>
                  <w:sz w:val="20"/>
                  <w:szCs w:val="20"/>
                </w:rPr>
                <w:t>https://nasen.org.uk/page/continuing-professional-development-and-learning-cpdl</w:t>
              </w:r>
            </w:hyperlink>
          </w:p>
        </w:tc>
      </w:tr>
      <w:tr w:rsidR="002D3A9F" w:rsidTr="70C67D0E" w14:paraId="01964DB6" w14:textId="77777777">
        <w:trPr>
          <w:trHeight w:val="442"/>
        </w:trPr>
        <w:tc>
          <w:tcPr>
            <w:tcW w:w="2778" w:type="dxa"/>
            <w:vMerge w:val="restart"/>
            <w:shd w:val="clear" w:color="auto" w:fill="FFFF00"/>
            <w:tcMar/>
          </w:tcPr>
          <w:p w:rsidR="002D3A9F" w:rsidP="00D30718" w:rsidRDefault="002D3A9F" w14:paraId="5B86607A" w14:textId="77777777">
            <w:r>
              <w:t>5 Ensuring all schools know and follow the statutory requirements</w:t>
            </w:r>
          </w:p>
        </w:tc>
        <w:tc>
          <w:tcPr>
            <w:tcW w:w="2779" w:type="dxa"/>
            <w:tcMar/>
          </w:tcPr>
          <w:p w:rsidRPr="00BD0443" w:rsidR="002D3A9F" w:rsidP="00D30718" w:rsidRDefault="002D3A9F" w14:paraId="4D300BF9" w14:textId="0B7B6C3F">
            <w:pPr>
              <w:rPr>
                <w:sz w:val="20"/>
                <w:szCs w:val="20"/>
              </w:rPr>
            </w:pPr>
            <w:r>
              <w:rPr>
                <w:sz w:val="20"/>
                <w:szCs w:val="20"/>
              </w:rPr>
              <w:t xml:space="preserve">Do admissions </w:t>
            </w:r>
            <w:r w:rsidRPr="00BD0443">
              <w:rPr>
                <w:sz w:val="20"/>
                <w:szCs w:val="20"/>
              </w:rPr>
              <w:t>arran</w:t>
            </w:r>
            <w:r>
              <w:rPr>
                <w:sz w:val="20"/>
                <w:szCs w:val="20"/>
              </w:rPr>
              <w:t xml:space="preserve">gements make sure </w:t>
            </w:r>
            <w:r w:rsidRPr="00BD0443">
              <w:rPr>
                <w:sz w:val="20"/>
                <w:szCs w:val="20"/>
              </w:rPr>
              <w:t>all children whose education, health and c</w:t>
            </w:r>
            <w:r>
              <w:rPr>
                <w:sz w:val="20"/>
                <w:szCs w:val="20"/>
              </w:rPr>
              <w:t xml:space="preserve">are (EHC) plan name the </w:t>
            </w:r>
            <w:r w:rsidRPr="00BD0443">
              <w:rPr>
                <w:sz w:val="20"/>
                <w:szCs w:val="20"/>
              </w:rPr>
              <w:t>school</w:t>
            </w:r>
            <w:r>
              <w:rPr>
                <w:sz w:val="20"/>
                <w:szCs w:val="20"/>
              </w:rPr>
              <w:t xml:space="preserve"> are admitted</w:t>
            </w:r>
            <w:r w:rsidRPr="00BD0443">
              <w:rPr>
                <w:sz w:val="20"/>
                <w:szCs w:val="20"/>
              </w:rPr>
              <w:t>?</w:t>
            </w:r>
          </w:p>
          <w:p w:rsidRPr="00BD0443" w:rsidR="002D3A9F" w:rsidP="00D30718" w:rsidRDefault="002D3A9F" w14:paraId="47483FA0" w14:textId="77777777">
            <w:pPr>
              <w:rPr>
                <w:sz w:val="20"/>
                <w:szCs w:val="20"/>
              </w:rPr>
            </w:pPr>
          </w:p>
        </w:tc>
        <w:tc>
          <w:tcPr>
            <w:tcW w:w="1951" w:type="dxa"/>
            <w:tcMar/>
          </w:tcPr>
          <w:p w:rsidRPr="00BD0443" w:rsidR="002D3A9F" w:rsidP="00D30718" w:rsidRDefault="002D3A9F" w14:paraId="39BDB3BE" w14:textId="77777777">
            <w:pPr>
              <w:rPr>
                <w:sz w:val="20"/>
                <w:szCs w:val="20"/>
              </w:rPr>
            </w:pPr>
            <w:r w:rsidRPr="00BD0443">
              <w:rPr>
                <w:sz w:val="20"/>
                <w:szCs w:val="20"/>
              </w:rPr>
              <w:t>Statutory</w:t>
            </w:r>
          </w:p>
        </w:tc>
        <w:tc>
          <w:tcPr>
            <w:tcW w:w="1630" w:type="dxa"/>
            <w:tcMar/>
          </w:tcPr>
          <w:p w:rsidRPr="00BD0443" w:rsidR="002D3A9F" w:rsidP="00D30718" w:rsidRDefault="002D3A9F" w14:paraId="3DA558F7" w14:textId="77777777">
            <w:pPr>
              <w:rPr>
                <w:sz w:val="20"/>
                <w:szCs w:val="20"/>
              </w:rPr>
            </w:pPr>
          </w:p>
        </w:tc>
        <w:tc>
          <w:tcPr>
            <w:tcW w:w="4739" w:type="dxa"/>
            <w:tcMar/>
          </w:tcPr>
          <w:p w:rsidRPr="00BD0443" w:rsidR="002D3A9F" w:rsidP="00D30718" w:rsidRDefault="002D3A9F" w14:paraId="0B52C683" w14:textId="77777777">
            <w:pPr>
              <w:rPr>
                <w:sz w:val="20"/>
                <w:szCs w:val="20"/>
              </w:rPr>
            </w:pPr>
          </w:p>
        </w:tc>
      </w:tr>
      <w:tr w:rsidR="002D3A9F" w:rsidTr="70C67D0E" w14:paraId="10B867BA" w14:textId="77777777">
        <w:trPr>
          <w:trHeight w:val="442"/>
        </w:trPr>
        <w:tc>
          <w:tcPr>
            <w:tcW w:w="2778" w:type="dxa"/>
            <w:vMerge/>
            <w:tcMar/>
          </w:tcPr>
          <w:p w:rsidR="002D3A9F" w:rsidP="00D30718" w:rsidRDefault="002D3A9F" w14:paraId="7E2FE27B" w14:textId="77777777"/>
        </w:tc>
        <w:tc>
          <w:tcPr>
            <w:tcW w:w="2779" w:type="dxa"/>
            <w:tcMar/>
          </w:tcPr>
          <w:p w:rsidRPr="00BD0443" w:rsidR="002D3A9F" w:rsidP="00D30718" w:rsidRDefault="002D3A9F" w14:paraId="0E107EB3" w14:textId="61D52F80">
            <w:pPr>
              <w:rPr>
                <w:sz w:val="20"/>
                <w:szCs w:val="20"/>
              </w:rPr>
            </w:pPr>
            <w:r>
              <w:rPr>
                <w:sz w:val="20"/>
                <w:szCs w:val="20"/>
              </w:rPr>
              <w:t xml:space="preserve">Do </w:t>
            </w:r>
            <w:r w:rsidRPr="00BD0443">
              <w:rPr>
                <w:sz w:val="20"/>
                <w:szCs w:val="20"/>
              </w:rPr>
              <w:t>admissions arrangem</w:t>
            </w:r>
            <w:r>
              <w:rPr>
                <w:sz w:val="20"/>
                <w:szCs w:val="20"/>
              </w:rPr>
              <w:t xml:space="preserve">ents make sure all </w:t>
            </w:r>
            <w:r w:rsidRPr="00BD0443">
              <w:rPr>
                <w:sz w:val="20"/>
                <w:szCs w:val="20"/>
              </w:rPr>
              <w:t>applications from parents of children with SEND but who do not have an EHC plan</w:t>
            </w:r>
            <w:r>
              <w:rPr>
                <w:sz w:val="20"/>
                <w:szCs w:val="20"/>
              </w:rPr>
              <w:t xml:space="preserve"> are considered</w:t>
            </w:r>
            <w:r w:rsidRPr="00BD0443">
              <w:rPr>
                <w:sz w:val="20"/>
                <w:szCs w:val="20"/>
              </w:rPr>
              <w:t>?</w:t>
            </w:r>
          </w:p>
        </w:tc>
        <w:tc>
          <w:tcPr>
            <w:tcW w:w="1951" w:type="dxa"/>
            <w:tcMar/>
          </w:tcPr>
          <w:p w:rsidRPr="00BD0443" w:rsidR="002D3A9F" w:rsidP="00D30718" w:rsidRDefault="002D3A9F" w14:paraId="29D95B57" w14:textId="77777777">
            <w:pPr>
              <w:rPr>
                <w:sz w:val="20"/>
                <w:szCs w:val="20"/>
              </w:rPr>
            </w:pPr>
            <w:r w:rsidRPr="00BD0443">
              <w:rPr>
                <w:sz w:val="20"/>
                <w:szCs w:val="20"/>
              </w:rPr>
              <w:t>Statutory</w:t>
            </w:r>
          </w:p>
        </w:tc>
        <w:tc>
          <w:tcPr>
            <w:tcW w:w="1630" w:type="dxa"/>
            <w:tcMar/>
          </w:tcPr>
          <w:p w:rsidRPr="00BD0443" w:rsidR="002D3A9F" w:rsidP="00D30718" w:rsidRDefault="002D3A9F" w14:paraId="1291E8EF" w14:textId="77777777">
            <w:pPr>
              <w:rPr>
                <w:sz w:val="20"/>
                <w:szCs w:val="20"/>
              </w:rPr>
            </w:pPr>
          </w:p>
        </w:tc>
        <w:tc>
          <w:tcPr>
            <w:tcW w:w="4739" w:type="dxa"/>
            <w:tcMar/>
          </w:tcPr>
          <w:p w:rsidRPr="00BD0443" w:rsidR="002D3A9F" w:rsidP="488D3157" w:rsidRDefault="002D3A9F" w14:paraId="02A1C184" w14:textId="77777777">
            <w:pPr>
              <w:pStyle w:val="7Tablebodycopy"/>
              <w:rPr>
                <w:i/>
                <w:iCs/>
                <w:lang w:val="en-GB" w:eastAsia="en-GB"/>
              </w:rPr>
            </w:pPr>
            <w:r w:rsidRPr="488D3157">
              <w:rPr>
                <w:i/>
                <w:iCs/>
                <w:lang w:val="en-GB" w:eastAsia="en-GB"/>
              </w:rPr>
              <w:t>Schools must not refuse to admit a child:</w:t>
            </w:r>
          </w:p>
          <w:p w:rsidRPr="00BD0443" w:rsidR="002D3A9F" w:rsidP="488D3157" w:rsidRDefault="002D3A9F" w14:paraId="418A3E14" w14:textId="24A43209">
            <w:pPr>
              <w:pStyle w:val="7Tablecopybulleted"/>
              <w:numPr>
                <w:ilvl w:val="0"/>
                <w:numId w:val="0"/>
              </w:numPr>
              <w:ind w:left="170"/>
              <w:rPr>
                <w:i/>
                <w:iCs/>
                <w:szCs w:val="20"/>
                <w:lang w:eastAsia="en-GB"/>
              </w:rPr>
            </w:pPr>
            <w:r w:rsidRPr="488D3157">
              <w:rPr>
                <w:i/>
                <w:iCs/>
                <w:lang w:val="en-GB" w:eastAsia="en-GB"/>
              </w:rPr>
              <w:t>Who has SEND but does not have an EHC plan because they do not feel able to meet needs</w:t>
            </w:r>
            <w:r w:rsidRPr="488D3157" w:rsidR="18486A60">
              <w:rPr>
                <w:i/>
                <w:iCs/>
                <w:lang w:val="en-GB" w:eastAsia="en-GB"/>
              </w:rPr>
              <w:t xml:space="preserve"> o</w:t>
            </w:r>
            <w:r w:rsidRPr="488D3157">
              <w:rPr>
                <w:i/>
                <w:iCs/>
                <w:szCs w:val="20"/>
                <w:lang w:eastAsia="en-GB"/>
              </w:rPr>
              <w:t xml:space="preserve">n the grounds that the child does not </w:t>
            </w:r>
          </w:p>
          <w:p w:rsidRPr="00BD0443" w:rsidR="002D3A9F" w:rsidP="00D72D58" w:rsidRDefault="002D3A9F" w14:paraId="6F7C5AE8" w14:textId="77777777">
            <w:pPr>
              <w:rPr>
                <w:sz w:val="20"/>
                <w:szCs w:val="20"/>
              </w:rPr>
            </w:pPr>
            <w:r w:rsidRPr="488D3157">
              <w:rPr>
                <w:i/>
                <w:iCs/>
                <w:sz w:val="20"/>
                <w:szCs w:val="20"/>
                <w:lang w:eastAsia="en-GB"/>
              </w:rPr>
              <w:t xml:space="preserve">   have an EHC Plan      </w:t>
            </w:r>
            <w:r w:rsidRPr="488D3157">
              <w:rPr>
                <w:sz w:val="20"/>
                <w:szCs w:val="20"/>
                <w:lang w:eastAsia="en-GB"/>
              </w:rPr>
              <w:t xml:space="preserve">      </w:t>
            </w:r>
          </w:p>
        </w:tc>
      </w:tr>
      <w:tr w:rsidR="002D3A9F" w:rsidTr="70C67D0E" w14:paraId="665C01BD" w14:textId="77777777">
        <w:trPr>
          <w:trHeight w:val="442"/>
        </w:trPr>
        <w:tc>
          <w:tcPr>
            <w:tcW w:w="2778" w:type="dxa"/>
            <w:vMerge/>
            <w:tcMar/>
          </w:tcPr>
          <w:p w:rsidR="002D3A9F" w:rsidP="00D30718" w:rsidRDefault="002D3A9F" w14:paraId="0D6FFE59" w14:textId="77777777"/>
        </w:tc>
        <w:tc>
          <w:tcPr>
            <w:tcW w:w="2779" w:type="dxa"/>
            <w:tcMar/>
          </w:tcPr>
          <w:p w:rsidRPr="00BD0443" w:rsidR="002D3A9F" w:rsidP="00D30718" w:rsidRDefault="002D3A9F" w14:paraId="1C7D6384" w14:textId="080C4D2A">
            <w:pPr>
              <w:rPr>
                <w:sz w:val="20"/>
                <w:szCs w:val="20"/>
              </w:rPr>
            </w:pPr>
            <w:r>
              <w:rPr>
                <w:sz w:val="20"/>
                <w:szCs w:val="20"/>
              </w:rPr>
              <w:t>How is designated funding used to develop SEN provision? Do strategic SEND developments mean the majority of SEN support needs can be met through the funding?</w:t>
            </w:r>
          </w:p>
        </w:tc>
        <w:tc>
          <w:tcPr>
            <w:tcW w:w="1951" w:type="dxa"/>
            <w:tcMar/>
          </w:tcPr>
          <w:p w:rsidRPr="00BD0443" w:rsidR="002D3A9F" w:rsidP="00D30718" w:rsidRDefault="002D3A9F" w14:paraId="115F87DD" w14:textId="77777777">
            <w:pPr>
              <w:rPr>
                <w:sz w:val="20"/>
                <w:szCs w:val="20"/>
              </w:rPr>
            </w:pPr>
            <w:r w:rsidRPr="00BD0443">
              <w:rPr>
                <w:sz w:val="20"/>
                <w:szCs w:val="20"/>
              </w:rPr>
              <w:t>Statutory</w:t>
            </w:r>
          </w:p>
        </w:tc>
        <w:tc>
          <w:tcPr>
            <w:tcW w:w="1630" w:type="dxa"/>
            <w:tcMar/>
          </w:tcPr>
          <w:p w:rsidRPr="00BD0443" w:rsidR="002D3A9F" w:rsidP="00D30718" w:rsidRDefault="002D3A9F" w14:paraId="18EBD2A6" w14:textId="77777777">
            <w:pPr>
              <w:rPr>
                <w:sz w:val="20"/>
                <w:szCs w:val="20"/>
              </w:rPr>
            </w:pPr>
          </w:p>
        </w:tc>
        <w:tc>
          <w:tcPr>
            <w:tcW w:w="4739" w:type="dxa"/>
            <w:tcMar/>
          </w:tcPr>
          <w:p w:rsidRPr="00BD0443" w:rsidR="002D3A9F" w:rsidP="488D3157" w:rsidRDefault="002D3A9F" w14:paraId="29FCE7F9" w14:textId="77777777">
            <w:pPr>
              <w:rPr>
                <w:i/>
                <w:iCs/>
                <w:sz w:val="20"/>
                <w:szCs w:val="20"/>
              </w:rPr>
            </w:pPr>
            <w:r w:rsidRPr="488D3157">
              <w:rPr>
                <w:i/>
                <w:iCs/>
                <w:sz w:val="20"/>
                <w:szCs w:val="20"/>
              </w:rPr>
              <w:t>You must do everything you can to meet the needs of your pupils with SEN</w:t>
            </w:r>
          </w:p>
        </w:tc>
      </w:tr>
      <w:tr w:rsidR="002D3A9F" w:rsidTr="70C67D0E" w14:paraId="2549672B" w14:textId="77777777">
        <w:trPr>
          <w:trHeight w:val="442"/>
        </w:trPr>
        <w:tc>
          <w:tcPr>
            <w:tcW w:w="2778" w:type="dxa"/>
            <w:vMerge/>
            <w:tcMar/>
          </w:tcPr>
          <w:p w:rsidR="002D3A9F" w:rsidP="00D30718" w:rsidRDefault="002D3A9F" w14:paraId="13BDACE0" w14:textId="77777777"/>
        </w:tc>
        <w:tc>
          <w:tcPr>
            <w:tcW w:w="2779" w:type="dxa"/>
            <w:tcMar/>
          </w:tcPr>
          <w:p w:rsidRPr="00BD0443" w:rsidR="002D3A9F" w:rsidP="00D30718" w:rsidRDefault="002D3A9F" w14:paraId="6E9DCA84" w14:textId="2EBAAD88">
            <w:pPr>
              <w:rPr>
                <w:sz w:val="20"/>
                <w:szCs w:val="20"/>
              </w:rPr>
            </w:pPr>
            <w:r>
              <w:rPr>
                <w:sz w:val="20"/>
                <w:szCs w:val="20"/>
              </w:rPr>
              <w:t xml:space="preserve">Is the </w:t>
            </w:r>
            <w:r w:rsidRPr="00BD0443">
              <w:rPr>
                <w:sz w:val="20"/>
                <w:szCs w:val="20"/>
              </w:rPr>
              <w:t>SEND policy review</w:t>
            </w:r>
            <w:r>
              <w:rPr>
                <w:sz w:val="20"/>
                <w:szCs w:val="20"/>
              </w:rPr>
              <w:t xml:space="preserve">ed regularly </w:t>
            </w:r>
            <w:r w:rsidRPr="00BD0443">
              <w:rPr>
                <w:sz w:val="20"/>
                <w:szCs w:val="20"/>
              </w:rPr>
              <w:t>with stakeholders?</w:t>
            </w:r>
          </w:p>
        </w:tc>
        <w:tc>
          <w:tcPr>
            <w:tcW w:w="1951" w:type="dxa"/>
            <w:tcMar/>
          </w:tcPr>
          <w:p w:rsidRPr="00BD0443" w:rsidR="002D3A9F" w:rsidP="00D30718" w:rsidRDefault="002D3A9F" w14:paraId="366F0C2F" w14:textId="538D247D">
            <w:pPr>
              <w:rPr>
                <w:sz w:val="20"/>
                <w:szCs w:val="20"/>
              </w:rPr>
            </w:pPr>
            <w:r w:rsidRPr="00BD0443">
              <w:rPr>
                <w:sz w:val="20"/>
                <w:szCs w:val="20"/>
              </w:rPr>
              <w:t>Statutory</w:t>
            </w:r>
          </w:p>
        </w:tc>
        <w:tc>
          <w:tcPr>
            <w:tcW w:w="1630" w:type="dxa"/>
            <w:tcMar/>
          </w:tcPr>
          <w:p w:rsidRPr="00BD0443" w:rsidR="002D3A9F" w:rsidP="00D30718" w:rsidRDefault="002D3A9F" w14:paraId="5D334602" w14:textId="77777777">
            <w:pPr>
              <w:rPr>
                <w:sz w:val="20"/>
                <w:szCs w:val="20"/>
              </w:rPr>
            </w:pPr>
          </w:p>
        </w:tc>
        <w:tc>
          <w:tcPr>
            <w:tcW w:w="4739" w:type="dxa"/>
            <w:tcMar/>
          </w:tcPr>
          <w:p w:rsidRPr="00BD0443" w:rsidR="002D3A9F" w:rsidP="488D3157" w:rsidRDefault="4C9519FE" w14:paraId="131199E3" w14:textId="6B982CFD">
            <w:pPr>
              <w:rPr>
                <w:i/>
                <w:iCs/>
                <w:sz w:val="20"/>
                <w:szCs w:val="20"/>
              </w:rPr>
            </w:pPr>
            <w:r w:rsidRPr="488D3157">
              <w:rPr>
                <w:i/>
                <w:iCs/>
                <w:sz w:val="20"/>
                <w:szCs w:val="20"/>
                <w:shd w:val="clear" w:color="auto" w:fill="FFFFFF"/>
              </w:rPr>
              <w:t>It doesn’t have to be published as a separate, stand-alone document.</w:t>
            </w:r>
          </w:p>
        </w:tc>
      </w:tr>
      <w:tr w:rsidR="002D3A9F" w:rsidTr="70C67D0E" w14:paraId="50571F06" w14:textId="77777777">
        <w:trPr>
          <w:trHeight w:val="442"/>
        </w:trPr>
        <w:tc>
          <w:tcPr>
            <w:tcW w:w="2778" w:type="dxa"/>
            <w:vMerge/>
            <w:tcMar/>
          </w:tcPr>
          <w:p w:rsidR="002D3A9F" w:rsidP="00D30718" w:rsidRDefault="002D3A9F" w14:paraId="77DAAD3A" w14:textId="77777777"/>
        </w:tc>
        <w:tc>
          <w:tcPr>
            <w:tcW w:w="2779" w:type="dxa"/>
            <w:tcMar/>
          </w:tcPr>
          <w:p w:rsidRPr="00BD0443" w:rsidR="002D3A9F" w:rsidP="00D30718" w:rsidRDefault="4C9519FE" w14:paraId="0C7963E4" w14:textId="211CBA66">
            <w:pPr>
              <w:rPr>
                <w:sz w:val="20"/>
                <w:szCs w:val="20"/>
                <w:shd w:val="clear" w:color="auto" w:fill="FFFFFF"/>
              </w:rPr>
            </w:pPr>
            <w:r>
              <w:rPr>
                <w:sz w:val="20"/>
                <w:szCs w:val="20"/>
                <w:shd w:val="clear" w:color="auto" w:fill="FFFFFF"/>
              </w:rPr>
              <w:t xml:space="preserve">Is the </w:t>
            </w:r>
            <w:r w:rsidRPr="00BD0443">
              <w:rPr>
                <w:sz w:val="20"/>
                <w:szCs w:val="20"/>
                <w:shd w:val="clear" w:color="auto" w:fill="FFFFFF"/>
              </w:rPr>
              <w:t>SEND information report</w:t>
            </w:r>
            <w:r>
              <w:rPr>
                <w:sz w:val="20"/>
                <w:szCs w:val="20"/>
                <w:shd w:val="clear" w:color="auto" w:fill="FFFFFF"/>
              </w:rPr>
              <w:t xml:space="preserve"> on the school website?</w:t>
            </w:r>
            <w:r w:rsidRPr="25C35E93">
              <w:rPr>
                <w:b/>
                <w:bCs/>
                <w:sz w:val="20"/>
                <w:szCs w:val="20"/>
                <w:shd w:val="clear" w:color="auto" w:fill="FFFFFF"/>
              </w:rPr>
              <w:t xml:space="preserve"> </w:t>
            </w:r>
            <w:r w:rsidRPr="00BD0443">
              <w:rPr>
                <w:sz w:val="20"/>
                <w:szCs w:val="20"/>
                <w:shd w:val="clear" w:color="auto" w:fill="FFFFFF"/>
              </w:rPr>
              <w:t>Is it updated as changes occur and does it include:</w:t>
            </w:r>
          </w:p>
          <w:p w:rsidRPr="00BD0443" w:rsidR="002D3A9F" w:rsidP="00D27B3D" w:rsidRDefault="002D3A9F" w14:paraId="34FA9436" w14:textId="77777777">
            <w:pPr>
              <w:pStyle w:val="7Tablebodycopy"/>
              <w:rPr>
                <w:rStyle w:val="Hyperlink"/>
                <w:szCs w:val="20"/>
                <w:shd w:val="clear" w:color="auto" w:fill="FFFFFF"/>
                <w:lang w:val="en-GB"/>
              </w:rPr>
            </w:pPr>
            <w:r w:rsidRPr="00BD0443">
              <w:rPr>
                <w:szCs w:val="20"/>
                <w:lang w:val="en-GB" w:eastAsia="en-GB"/>
              </w:rPr>
              <w:t xml:space="preserve">The </w:t>
            </w:r>
            <w:r w:rsidRPr="00BD0443">
              <w:rPr>
                <w:szCs w:val="20"/>
                <w:lang w:val="en-GB"/>
              </w:rPr>
              <w:t xml:space="preserve">SEND information specified in Schedule 1 of the </w:t>
            </w:r>
            <w:hyperlink w:history="1" r:id="rId14">
              <w:r w:rsidRPr="00BD0443">
                <w:rPr>
                  <w:rStyle w:val="Hyperlink"/>
                  <w:szCs w:val="20"/>
                  <w:lang w:val="en-GB"/>
                </w:rPr>
                <w:t>Special Educational Needs and Disability Regulations 2014</w:t>
              </w:r>
            </w:hyperlink>
          </w:p>
          <w:p w:rsidRPr="00BD0443" w:rsidR="002D3A9F" w:rsidP="00D27B3D" w:rsidRDefault="002D3A9F" w14:paraId="0C1499A9" w14:textId="77777777">
            <w:pPr>
              <w:pStyle w:val="7Tablebodycopy"/>
              <w:rPr>
                <w:szCs w:val="20"/>
                <w:shd w:val="clear" w:color="auto" w:fill="FFFFFF"/>
                <w:lang w:val="en-GB"/>
              </w:rPr>
            </w:pPr>
            <w:r w:rsidRPr="00BD0443">
              <w:rPr>
                <w:szCs w:val="20"/>
                <w:lang w:val="en-GB" w:eastAsia="en-GB"/>
              </w:rPr>
              <w:t xml:space="preserve">The information specified in paragraph 6.79 of the </w:t>
            </w:r>
            <w:hyperlink w:history="1" r:id="rId15">
              <w:r w:rsidRPr="00BD0443">
                <w:rPr>
                  <w:rStyle w:val="Hyperlink"/>
                  <w:szCs w:val="20"/>
                  <w:lang w:val="en-GB" w:eastAsia="en-GB"/>
                </w:rPr>
                <w:t>SEND Code of Practice</w:t>
              </w:r>
            </w:hyperlink>
          </w:p>
          <w:p w:rsidRPr="00BD0443" w:rsidR="002D3A9F" w:rsidP="00D27B3D" w:rsidRDefault="002D3A9F" w14:paraId="0D57AB29" w14:textId="77777777">
            <w:pPr>
              <w:pStyle w:val="7Tablebodycopy"/>
              <w:rPr>
                <w:szCs w:val="20"/>
                <w:lang w:val="en-GB"/>
              </w:rPr>
            </w:pPr>
            <w:r w:rsidRPr="00BD0443">
              <w:rPr>
                <w:szCs w:val="20"/>
                <w:lang w:val="en-GB"/>
              </w:rPr>
              <w:t>Information as to:</w:t>
            </w:r>
          </w:p>
          <w:p w:rsidRPr="00BD0443" w:rsidR="002D3A9F" w:rsidP="00785789" w:rsidRDefault="002D3A9F" w14:paraId="774DF14C" w14:textId="35FF79FC">
            <w:pPr>
              <w:pStyle w:val="7Tablebodybulleted"/>
              <w:numPr>
                <w:ilvl w:val="0"/>
                <w:numId w:val="0"/>
              </w:numPr>
              <w:rPr>
                <w:szCs w:val="20"/>
                <w:lang w:val="en-GB"/>
              </w:rPr>
            </w:pPr>
            <w:r>
              <w:rPr>
                <w:szCs w:val="20"/>
                <w:lang w:val="en-GB"/>
              </w:rPr>
              <w:t>A</w:t>
            </w:r>
            <w:r w:rsidRPr="00BD0443">
              <w:rPr>
                <w:szCs w:val="20"/>
                <w:lang w:val="en-GB"/>
              </w:rPr>
              <w:t>dmission arrangements for pupils with disabilities</w:t>
            </w:r>
          </w:p>
          <w:p w:rsidRPr="00BD0443" w:rsidR="002D3A9F" w:rsidP="00785789" w:rsidRDefault="002D3A9F" w14:paraId="042EF3AA" w14:textId="12BC89AA">
            <w:pPr>
              <w:pStyle w:val="7Tablebodybulleted"/>
              <w:numPr>
                <w:ilvl w:val="0"/>
                <w:numId w:val="0"/>
              </w:numPr>
              <w:rPr>
                <w:szCs w:val="20"/>
                <w:lang w:val="en-GB"/>
              </w:rPr>
            </w:pPr>
            <w:r>
              <w:rPr>
                <w:szCs w:val="20"/>
                <w:lang w:val="en-GB"/>
              </w:rPr>
              <w:t>The steps</w:t>
            </w:r>
            <w:r w:rsidRPr="00BD0443">
              <w:rPr>
                <w:szCs w:val="20"/>
                <w:lang w:val="en-GB"/>
              </w:rPr>
              <w:t xml:space="preserve"> taken to prevent pupils with disabilities from being treated less favourably than other pupils</w:t>
            </w:r>
          </w:p>
          <w:p w:rsidRPr="00BD0443" w:rsidR="002D3A9F" w:rsidP="00785789" w:rsidRDefault="002D3A9F" w14:paraId="18466866" w14:textId="0EDC17E5">
            <w:pPr>
              <w:pStyle w:val="7Tablebodybulleted"/>
              <w:numPr>
                <w:ilvl w:val="0"/>
                <w:numId w:val="0"/>
              </w:numPr>
              <w:rPr>
                <w:szCs w:val="20"/>
                <w:lang w:val="en-GB"/>
              </w:rPr>
            </w:pPr>
            <w:r>
              <w:rPr>
                <w:szCs w:val="20"/>
                <w:lang w:val="en-GB"/>
              </w:rPr>
              <w:t>The facilities</w:t>
            </w:r>
            <w:r w:rsidRPr="00BD0443">
              <w:rPr>
                <w:szCs w:val="20"/>
                <w:lang w:val="en-GB"/>
              </w:rPr>
              <w:t xml:space="preserve"> provide</w:t>
            </w:r>
            <w:r>
              <w:rPr>
                <w:szCs w:val="20"/>
                <w:lang w:val="en-GB"/>
              </w:rPr>
              <w:t>d</w:t>
            </w:r>
            <w:r w:rsidRPr="00BD0443">
              <w:rPr>
                <w:szCs w:val="20"/>
                <w:lang w:val="en-GB"/>
              </w:rPr>
              <w:t xml:space="preserve"> to help pupils with disabilities to access the school</w:t>
            </w:r>
          </w:p>
          <w:p w:rsidRPr="00BD0443" w:rsidR="002D3A9F" w:rsidP="00785789" w:rsidRDefault="002D3A9F" w14:paraId="601FC7E7" w14:textId="2130330A">
            <w:pPr>
              <w:pStyle w:val="7Tablebodybulleted"/>
              <w:numPr>
                <w:ilvl w:val="0"/>
                <w:numId w:val="0"/>
              </w:numPr>
              <w:rPr>
                <w:szCs w:val="20"/>
                <w:lang w:val="en-GB"/>
              </w:rPr>
            </w:pPr>
            <w:r>
              <w:rPr>
                <w:szCs w:val="20"/>
                <w:lang w:val="en-GB"/>
              </w:rPr>
              <w:t>A</w:t>
            </w:r>
            <w:r w:rsidRPr="00BD0443">
              <w:rPr>
                <w:szCs w:val="20"/>
                <w:lang w:val="en-GB"/>
              </w:rPr>
              <w:t>ccessibility plans</w:t>
            </w:r>
          </w:p>
          <w:p w:rsidRPr="00BD0443" w:rsidR="002D3A9F" w:rsidP="00D27B3D" w:rsidRDefault="002D3A9F" w14:paraId="1B348CBF" w14:textId="3E44C142">
            <w:pPr>
              <w:rPr>
                <w:sz w:val="20"/>
                <w:szCs w:val="20"/>
              </w:rPr>
            </w:pPr>
            <w:r w:rsidRPr="00BD0443">
              <w:rPr>
                <w:sz w:val="20"/>
                <w:szCs w:val="20"/>
              </w:rPr>
              <w:t xml:space="preserve">See </w:t>
            </w:r>
            <w:hyperlink w:history="1" r:id="rId16">
              <w:r w:rsidRPr="00BD0443">
                <w:rPr>
                  <w:rStyle w:val="Hyperlink"/>
                  <w:sz w:val="20"/>
                  <w:szCs w:val="20"/>
                </w:rPr>
                <w:t>section 69 of the Children and Families Act</w:t>
              </w:r>
            </w:hyperlink>
          </w:p>
        </w:tc>
        <w:tc>
          <w:tcPr>
            <w:tcW w:w="1951" w:type="dxa"/>
            <w:tcMar/>
          </w:tcPr>
          <w:p w:rsidRPr="00BD0443" w:rsidR="002D3A9F" w:rsidP="00D30718" w:rsidRDefault="002D3A9F" w14:paraId="4A084CD5" w14:textId="4E7584EE">
            <w:pPr>
              <w:rPr>
                <w:sz w:val="20"/>
                <w:szCs w:val="20"/>
              </w:rPr>
            </w:pPr>
            <w:r w:rsidRPr="00BD0443">
              <w:rPr>
                <w:sz w:val="20"/>
                <w:szCs w:val="20"/>
              </w:rPr>
              <w:t>Statutory</w:t>
            </w:r>
          </w:p>
        </w:tc>
        <w:tc>
          <w:tcPr>
            <w:tcW w:w="1630" w:type="dxa"/>
            <w:tcMar/>
          </w:tcPr>
          <w:p w:rsidRPr="00BD0443" w:rsidR="002D3A9F" w:rsidP="00D30718" w:rsidRDefault="002D3A9F" w14:paraId="3B78723A" w14:textId="77777777">
            <w:pPr>
              <w:rPr>
                <w:sz w:val="20"/>
                <w:szCs w:val="20"/>
              </w:rPr>
            </w:pPr>
          </w:p>
        </w:tc>
        <w:tc>
          <w:tcPr>
            <w:tcW w:w="4739" w:type="dxa"/>
            <w:tcMar/>
          </w:tcPr>
          <w:p w:rsidRPr="00BD0443" w:rsidR="002D3A9F" w:rsidP="00D30718" w:rsidRDefault="002D3A9F" w14:paraId="16C2F5A9" w14:textId="77777777">
            <w:pPr>
              <w:rPr>
                <w:sz w:val="20"/>
                <w:szCs w:val="20"/>
              </w:rPr>
            </w:pPr>
          </w:p>
        </w:tc>
      </w:tr>
      <w:tr w:rsidR="002D3A9F" w:rsidTr="70C67D0E" w14:paraId="12499C66" w14:textId="77777777">
        <w:trPr>
          <w:trHeight w:val="442"/>
        </w:trPr>
        <w:tc>
          <w:tcPr>
            <w:tcW w:w="2778" w:type="dxa"/>
            <w:vMerge/>
            <w:tcMar/>
          </w:tcPr>
          <w:p w:rsidR="002D3A9F" w:rsidP="00D30718" w:rsidRDefault="002D3A9F" w14:paraId="65D64ACC" w14:textId="77777777"/>
        </w:tc>
        <w:tc>
          <w:tcPr>
            <w:tcW w:w="2779" w:type="dxa"/>
            <w:tcMar/>
          </w:tcPr>
          <w:p w:rsidRPr="00BD0443" w:rsidR="002D3A9F" w:rsidP="25C35E93" w:rsidRDefault="4C9519FE" w14:paraId="4EF32CE4" w14:textId="12C8D33B">
            <w:pPr>
              <w:pStyle w:val="7Tablebodycopy"/>
              <w:rPr>
                <w:shd w:val="clear" w:color="auto" w:fill="FFFFFF"/>
                <w:lang w:val="en-GB"/>
              </w:rPr>
            </w:pPr>
            <w:r w:rsidRPr="25C35E93">
              <w:rPr>
                <w:shd w:val="clear" w:color="auto" w:fill="FFFFFF"/>
                <w:lang w:val="en-GB"/>
              </w:rPr>
              <w:t xml:space="preserve">Does the SEND information report mention accessibility plans and confirm that it covers: </w:t>
            </w:r>
          </w:p>
          <w:p w:rsidRPr="00BD0443" w:rsidR="002D3A9F" w:rsidP="70C67D0E" w:rsidRDefault="4C9519FE" w14:paraId="620DF7AD" w14:textId="4BAB2581">
            <w:pPr>
              <w:pStyle w:val="7Tablebodycopy"/>
              <w:rPr>
                <w:shd w:val="clear" w:color="auto" w:fill="FFFFFF"/>
                <w:lang w:val="en-US"/>
              </w:rPr>
            </w:pPr>
            <w:r w:rsidRPr="70C67D0E" w:rsidR="4C9519FE">
              <w:rPr>
                <w:shd w:val="clear" w:color="auto" w:fill="FFFFFF"/>
                <w:lang w:val="en-US"/>
              </w:rPr>
              <w:t xml:space="preserve">Increasing the extent to which pupils with disabilities can </w:t>
            </w:r>
            <w:r w:rsidRPr="70C67D0E" w:rsidR="4C9519FE">
              <w:rPr>
                <w:shd w:val="clear" w:color="auto" w:fill="FFFFFF"/>
                <w:lang w:val="en-US"/>
              </w:rPr>
              <w:t>participate</w:t>
            </w:r>
            <w:r w:rsidRPr="70C67D0E" w:rsidR="4C9519FE">
              <w:rPr>
                <w:shd w:val="clear" w:color="auto" w:fill="FFFFFF"/>
                <w:lang w:val="en-US"/>
              </w:rPr>
              <w:t xml:space="preserve"> in the curriculum</w:t>
            </w:r>
            <w:r w:rsidRPr="70C67D0E" w:rsidR="5D1B1486">
              <w:rPr>
                <w:shd w:val="clear" w:color="auto" w:fill="FFFFFF"/>
                <w:lang w:val="en-US"/>
              </w:rPr>
              <w:t>.</w:t>
            </w:r>
          </w:p>
          <w:p w:rsidRPr="00BD0443" w:rsidR="002D3A9F" w:rsidP="25C35E93" w:rsidRDefault="4C9519FE" w14:paraId="4CE38150" w14:textId="7FCAAA6A">
            <w:pPr>
              <w:pStyle w:val="7Tablebodycopy"/>
              <w:rPr>
                <w:shd w:val="clear" w:color="auto" w:fill="FFFFFF"/>
                <w:lang w:val="en-GB"/>
              </w:rPr>
            </w:pPr>
            <w:r w:rsidRPr="25C35E93">
              <w:rPr>
                <w:shd w:val="clear" w:color="auto" w:fill="FFFFFF"/>
                <w:lang w:val="en-GB"/>
              </w:rPr>
              <w:t>Improving the school’s physical environment to increase the extent to which pupils with disabilities can take advantage of the education, benefits, facilities and services offered</w:t>
            </w:r>
            <w:r w:rsidRPr="25C35E93" w:rsidR="5D1B1486">
              <w:rPr>
                <w:shd w:val="clear" w:color="auto" w:fill="FFFFFF"/>
                <w:lang w:val="en-GB"/>
              </w:rPr>
              <w:t>.</w:t>
            </w:r>
          </w:p>
          <w:p w:rsidRPr="00841E08" w:rsidR="002D3A9F" w:rsidP="25C35E93" w:rsidRDefault="4C9519FE" w14:paraId="69006F84" w14:textId="1CF89B92">
            <w:pPr>
              <w:rPr>
                <w:sz w:val="20"/>
                <w:szCs w:val="20"/>
              </w:rPr>
            </w:pPr>
            <w:r w:rsidRPr="25C35E93">
              <w:rPr>
                <w:sz w:val="20"/>
                <w:szCs w:val="20"/>
                <w:shd w:val="clear" w:color="auto" w:fill="FFFFFF"/>
              </w:rPr>
              <w:t>Improving the delivery to pupils with disabilities of information which is readily accessible to pupils without disabilities</w:t>
            </w:r>
            <w:r w:rsidRPr="25C35E93" w:rsidR="5D1B1486">
              <w:rPr>
                <w:sz w:val="20"/>
                <w:szCs w:val="20"/>
                <w:shd w:val="clear" w:color="auto" w:fill="FFFFFF"/>
              </w:rPr>
              <w:t>.</w:t>
            </w:r>
          </w:p>
        </w:tc>
        <w:tc>
          <w:tcPr>
            <w:tcW w:w="1951" w:type="dxa"/>
            <w:tcMar/>
          </w:tcPr>
          <w:p w:rsidRPr="00BD0443" w:rsidR="002D3A9F" w:rsidP="00D30718" w:rsidRDefault="002D3A9F" w14:paraId="50C2FB03" w14:textId="5F09FC89">
            <w:pPr>
              <w:rPr>
                <w:sz w:val="20"/>
                <w:szCs w:val="20"/>
              </w:rPr>
            </w:pPr>
            <w:r w:rsidRPr="00BD0443">
              <w:rPr>
                <w:sz w:val="20"/>
                <w:szCs w:val="20"/>
              </w:rPr>
              <w:t>Statutory</w:t>
            </w:r>
          </w:p>
        </w:tc>
        <w:tc>
          <w:tcPr>
            <w:tcW w:w="1630" w:type="dxa"/>
            <w:tcMar/>
          </w:tcPr>
          <w:p w:rsidR="002D3A9F" w:rsidP="00D30718" w:rsidRDefault="002D3A9F" w14:paraId="632476AF" w14:textId="77777777"/>
        </w:tc>
        <w:tc>
          <w:tcPr>
            <w:tcW w:w="4739" w:type="dxa"/>
            <w:tcMar/>
          </w:tcPr>
          <w:p w:rsidR="002D3A9F" w:rsidP="00D30718" w:rsidRDefault="002D3A9F" w14:paraId="08E9F430" w14:textId="77777777"/>
        </w:tc>
      </w:tr>
      <w:tr w:rsidR="002D3A9F" w:rsidTr="70C67D0E" w14:paraId="1CD4A284" w14:textId="77777777">
        <w:trPr>
          <w:trHeight w:val="375"/>
        </w:trPr>
        <w:tc>
          <w:tcPr>
            <w:tcW w:w="2778" w:type="dxa"/>
            <w:vMerge/>
            <w:tcMar/>
          </w:tcPr>
          <w:p w:rsidR="002D3A9F" w:rsidP="00D30718" w:rsidRDefault="002D3A9F" w14:paraId="25052D60" w14:textId="77777777"/>
        </w:tc>
        <w:tc>
          <w:tcPr>
            <w:tcW w:w="2779" w:type="dxa"/>
            <w:tcMar/>
          </w:tcPr>
          <w:p w:rsidRPr="00BD0443" w:rsidR="002D3A9F" w:rsidP="00D27B3D" w:rsidRDefault="4C9519FE" w14:paraId="52AA792A" w14:textId="68A5F34B">
            <w:pPr>
              <w:pStyle w:val="7Tablebodycopy"/>
            </w:pPr>
            <w:r w:rsidRPr="25C35E93">
              <w:rPr>
                <w:shd w:val="clear" w:color="auto" w:fill="FFFFFF"/>
                <w:lang w:val="en-GB"/>
              </w:rPr>
              <w:t>Is there a policy on supporting pupils with medical conditions?</w:t>
            </w:r>
          </w:p>
        </w:tc>
        <w:tc>
          <w:tcPr>
            <w:tcW w:w="1951" w:type="dxa"/>
            <w:tcMar/>
          </w:tcPr>
          <w:p w:rsidRPr="00BD0443" w:rsidR="002D3A9F" w:rsidP="00D30718" w:rsidRDefault="002D3A9F" w14:paraId="70F7306C" w14:textId="36AA414D">
            <w:pPr>
              <w:rPr>
                <w:sz w:val="20"/>
                <w:szCs w:val="20"/>
              </w:rPr>
            </w:pPr>
            <w:r w:rsidRPr="00BD0443">
              <w:rPr>
                <w:sz w:val="20"/>
                <w:szCs w:val="20"/>
              </w:rPr>
              <w:t>Statutory</w:t>
            </w:r>
          </w:p>
        </w:tc>
        <w:tc>
          <w:tcPr>
            <w:tcW w:w="1630" w:type="dxa"/>
            <w:tcMar/>
          </w:tcPr>
          <w:p w:rsidR="002D3A9F" w:rsidP="00D30718" w:rsidRDefault="002D3A9F" w14:paraId="56099C37" w14:textId="77777777"/>
        </w:tc>
        <w:tc>
          <w:tcPr>
            <w:tcW w:w="4739" w:type="dxa"/>
            <w:tcMar/>
          </w:tcPr>
          <w:p w:rsidR="002D3A9F" w:rsidP="00D30718" w:rsidRDefault="002D3A9F" w14:paraId="49BAC2EC" w14:textId="77777777"/>
        </w:tc>
      </w:tr>
      <w:tr w:rsidR="002D3A9F" w:rsidTr="70C67D0E" w14:paraId="6F8E5A71" w14:textId="77777777">
        <w:trPr>
          <w:trHeight w:val="670"/>
        </w:trPr>
        <w:tc>
          <w:tcPr>
            <w:tcW w:w="2778" w:type="dxa"/>
            <w:vMerge/>
            <w:tcMar/>
          </w:tcPr>
          <w:p w:rsidR="002D3A9F" w:rsidP="00D30718" w:rsidRDefault="002D3A9F" w14:paraId="029AD251" w14:textId="77777777"/>
        </w:tc>
        <w:tc>
          <w:tcPr>
            <w:tcW w:w="2779" w:type="dxa"/>
            <w:tcMar/>
          </w:tcPr>
          <w:p w:rsidR="002D3A9F" w:rsidP="25C35E93" w:rsidRDefault="4C9519FE" w14:paraId="0883245A" w14:textId="45A4BC07">
            <w:pPr>
              <w:pStyle w:val="7Tablebodycopy"/>
              <w:rPr>
                <w:shd w:val="clear" w:color="auto" w:fill="FFFFFF"/>
                <w:lang w:val="en-GB"/>
              </w:rPr>
            </w:pPr>
            <w:r w:rsidRPr="25C35E93">
              <w:rPr>
                <w:shd w:val="clear" w:color="auto" w:fill="FFFFFF"/>
                <w:lang w:val="en-GB"/>
              </w:rPr>
              <w:t>Is there a policy for intimate care? Is it recognised by all staff that providing intimate care is a reasonable adjustment?</w:t>
            </w:r>
          </w:p>
        </w:tc>
        <w:tc>
          <w:tcPr>
            <w:tcW w:w="1951" w:type="dxa"/>
            <w:tcMar/>
          </w:tcPr>
          <w:p w:rsidRPr="00BD0443" w:rsidR="002D3A9F" w:rsidP="00D30718" w:rsidRDefault="002D3A9F" w14:paraId="2A1649A5" w14:textId="289EB7AB">
            <w:pPr>
              <w:rPr>
                <w:sz w:val="20"/>
                <w:szCs w:val="20"/>
              </w:rPr>
            </w:pPr>
            <w:r>
              <w:rPr>
                <w:sz w:val="20"/>
                <w:szCs w:val="20"/>
              </w:rPr>
              <w:t>Statutory</w:t>
            </w:r>
          </w:p>
        </w:tc>
        <w:tc>
          <w:tcPr>
            <w:tcW w:w="1630" w:type="dxa"/>
            <w:tcMar/>
          </w:tcPr>
          <w:p w:rsidR="002D3A9F" w:rsidP="00D30718" w:rsidRDefault="002D3A9F" w14:paraId="34140B36" w14:textId="72B29024"/>
        </w:tc>
        <w:tc>
          <w:tcPr>
            <w:tcW w:w="4739" w:type="dxa"/>
            <w:tcMar/>
          </w:tcPr>
          <w:p w:rsidR="002D3A9F" w:rsidP="00D30718" w:rsidRDefault="002D3A9F" w14:paraId="7FFEDDC2" w14:textId="77777777"/>
        </w:tc>
      </w:tr>
      <w:tr w:rsidR="009A5F57" w:rsidTr="70C67D0E" w14:paraId="3C4ED7B6" w14:textId="77777777">
        <w:trPr>
          <w:trHeight w:val="670"/>
        </w:trPr>
        <w:tc>
          <w:tcPr>
            <w:tcW w:w="2778" w:type="dxa"/>
            <w:vMerge/>
            <w:tcMar/>
          </w:tcPr>
          <w:p w:rsidR="009A5F57" w:rsidP="00D30718" w:rsidRDefault="009A5F57" w14:paraId="1A563598" w14:textId="77777777"/>
        </w:tc>
        <w:tc>
          <w:tcPr>
            <w:tcW w:w="2779" w:type="dxa"/>
            <w:tcMar/>
          </w:tcPr>
          <w:p w:rsidR="009A5F57" w:rsidP="25C35E93" w:rsidRDefault="46CC284E" w14:paraId="7852B65F" w14:textId="7ADB8195">
            <w:pPr>
              <w:pStyle w:val="7Tablebodycopy"/>
              <w:rPr>
                <w:shd w:val="clear" w:color="auto" w:fill="FFFFFF"/>
                <w:lang w:val="en-GB"/>
              </w:rPr>
            </w:pPr>
            <w:r w:rsidRPr="25C35E93">
              <w:rPr>
                <w:shd w:val="clear" w:color="auto" w:fill="FFFFFF"/>
                <w:lang w:val="en-GB"/>
              </w:rPr>
              <w:t>Does the EHC needs assessment application demonstrate a robust assess, plan, do, review process over time that meets the Southwark SEND Standards?</w:t>
            </w:r>
          </w:p>
        </w:tc>
        <w:tc>
          <w:tcPr>
            <w:tcW w:w="1951" w:type="dxa"/>
            <w:tcMar/>
          </w:tcPr>
          <w:p w:rsidR="009A5F57" w:rsidP="00D30718" w:rsidRDefault="009A5F57" w14:paraId="182B5685" w14:textId="65A2DF42">
            <w:pPr>
              <w:rPr>
                <w:sz w:val="20"/>
                <w:szCs w:val="20"/>
              </w:rPr>
            </w:pPr>
            <w:r>
              <w:rPr>
                <w:sz w:val="20"/>
                <w:szCs w:val="20"/>
              </w:rPr>
              <w:t>Statutory</w:t>
            </w:r>
          </w:p>
        </w:tc>
        <w:tc>
          <w:tcPr>
            <w:tcW w:w="1630" w:type="dxa"/>
            <w:tcMar/>
          </w:tcPr>
          <w:p w:rsidR="009A5F57" w:rsidP="00D30718" w:rsidRDefault="009A5F57" w14:paraId="51A2F778" w14:textId="77777777"/>
        </w:tc>
        <w:tc>
          <w:tcPr>
            <w:tcW w:w="4739" w:type="dxa"/>
            <w:tcMar/>
          </w:tcPr>
          <w:p w:rsidR="009A5F57" w:rsidP="00D30718" w:rsidRDefault="009A5F57" w14:paraId="73FC978C" w14:textId="77777777">
            <w:pPr>
              <w:rPr>
                <w:rFonts w:eastAsia="MS Mincho" w:cs="Times New Roman"/>
                <w:sz w:val="20"/>
                <w:szCs w:val="20"/>
                <w:shd w:val="clear" w:color="auto" w:fill="FFFFFF"/>
              </w:rPr>
            </w:pPr>
          </w:p>
        </w:tc>
      </w:tr>
      <w:tr w:rsidR="002D3A9F" w:rsidTr="70C67D0E" w14:paraId="12744F41" w14:textId="77777777">
        <w:trPr>
          <w:trHeight w:val="442"/>
        </w:trPr>
        <w:tc>
          <w:tcPr>
            <w:tcW w:w="2778" w:type="dxa"/>
            <w:vMerge/>
            <w:tcMar/>
          </w:tcPr>
          <w:p w:rsidR="002D3A9F" w:rsidP="00D30718" w:rsidRDefault="002D3A9F" w14:paraId="6DCD0C82" w14:textId="77777777"/>
        </w:tc>
        <w:tc>
          <w:tcPr>
            <w:tcW w:w="2779" w:type="dxa"/>
            <w:tcMar/>
          </w:tcPr>
          <w:p w:rsidRPr="00BD0443" w:rsidR="002D3A9F" w:rsidP="00D27B3D" w:rsidRDefault="4C9519FE" w14:paraId="6E65C5E5" w14:textId="5CE474BE">
            <w:pPr>
              <w:pStyle w:val="7Tablebodycopy"/>
            </w:pPr>
            <w:r w:rsidRPr="25C35E93">
              <w:rPr>
                <w:shd w:val="clear" w:color="auto" w:fill="FFFFFF"/>
                <w:lang w:val="en-GB"/>
              </w:rPr>
              <w:t>How does school liaise with the LA to review EHC plans annually?</w:t>
            </w:r>
          </w:p>
        </w:tc>
        <w:tc>
          <w:tcPr>
            <w:tcW w:w="1951" w:type="dxa"/>
            <w:tcMar/>
          </w:tcPr>
          <w:p w:rsidRPr="00BD0443" w:rsidR="002D3A9F" w:rsidP="00D30718" w:rsidRDefault="002D3A9F" w14:paraId="5165C6F8" w14:textId="5E3DF328">
            <w:pPr>
              <w:rPr>
                <w:sz w:val="20"/>
                <w:szCs w:val="20"/>
              </w:rPr>
            </w:pPr>
            <w:r w:rsidRPr="00BD0443">
              <w:rPr>
                <w:sz w:val="20"/>
                <w:szCs w:val="20"/>
              </w:rPr>
              <w:t>Statutory</w:t>
            </w:r>
          </w:p>
        </w:tc>
        <w:tc>
          <w:tcPr>
            <w:tcW w:w="1630" w:type="dxa"/>
            <w:tcMar/>
          </w:tcPr>
          <w:p w:rsidR="002D3A9F" w:rsidP="00D30718" w:rsidRDefault="002D3A9F" w14:paraId="488EFDC5" w14:textId="77777777"/>
        </w:tc>
        <w:tc>
          <w:tcPr>
            <w:tcW w:w="4739" w:type="dxa"/>
            <w:tcMar/>
          </w:tcPr>
          <w:p w:rsidR="002D3A9F" w:rsidP="00D30718" w:rsidRDefault="002D3A9F" w14:paraId="30AA5B10" w14:textId="77777777"/>
        </w:tc>
      </w:tr>
      <w:tr w:rsidR="002D3A9F" w:rsidTr="70C67D0E" w14:paraId="411224FE" w14:textId="77777777">
        <w:trPr>
          <w:trHeight w:val="442"/>
        </w:trPr>
        <w:tc>
          <w:tcPr>
            <w:tcW w:w="2778" w:type="dxa"/>
            <w:vMerge/>
            <w:tcMar/>
          </w:tcPr>
          <w:p w:rsidR="002D3A9F" w:rsidP="00347774" w:rsidRDefault="002D3A9F" w14:paraId="1F3AF10C" w14:textId="77777777"/>
        </w:tc>
        <w:tc>
          <w:tcPr>
            <w:tcW w:w="2779" w:type="dxa"/>
            <w:tcMar/>
          </w:tcPr>
          <w:p w:rsidRPr="00BD0443" w:rsidR="002D3A9F" w:rsidP="00347774" w:rsidRDefault="002D3A9F" w14:paraId="333E106F" w14:textId="4FFA1D27">
            <w:pPr>
              <w:rPr>
                <w:sz w:val="20"/>
                <w:szCs w:val="20"/>
              </w:rPr>
            </w:pPr>
            <w:r>
              <w:rPr>
                <w:sz w:val="20"/>
                <w:szCs w:val="20"/>
              </w:rPr>
              <w:t>Is there</w:t>
            </w:r>
            <w:r w:rsidRPr="00BD0443">
              <w:rPr>
                <w:sz w:val="20"/>
                <w:szCs w:val="20"/>
              </w:rPr>
              <w:t xml:space="preserve"> a designated teacher responsible for co-ordinating SEND provision (the SEND co-ordinator [SENCO])? </w:t>
            </w:r>
          </w:p>
        </w:tc>
        <w:tc>
          <w:tcPr>
            <w:tcW w:w="1951" w:type="dxa"/>
            <w:tcMar/>
          </w:tcPr>
          <w:p w:rsidRPr="00BD0443" w:rsidR="002D3A9F" w:rsidP="00347774" w:rsidRDefault="002D3A9F" w14:paraId="6F093934" w14:textId="3461FF6C">
            <w:pPr>
              <w:rPr>
                <w:sz w:val="20"/>
                <w:szCs w:val="20"/>
              </w:rPr>
            </w:pPr>
            <w:r w:rsidRPr="00BD0443">
              <w:rPr>
                <w:sz w:val="20"/>
                <w:szCs w:val="20"/>
              </w:rPr>
              <w:t>Statutory</w:t>
            </w:r>
          </w:p>
        </w:tc>
        <w:tc>
          <w:tcPr>
            <w:tcW w:w="1630" w:type="dxa"/>
            <w:tcMar/>
          </w:tcPr>
          <w:p w:rsidRPr="00347774" w:rsidR="002D3A9F" w:rsidP="00347774" w:rsidRDefault="002D3A9F" w14:paraId="4FE479A6" w14:textId="40A7C5EB">
            <w:pPr>
              <w:rPr>
                <w:highlight w:val="yellow"/>
              </w:rPr>
            </w:pPr>
          </w:p>
        </w:tc>
        <w:tc>
          <w:tcPr>
            <w:tcW w:w="4739" w:type="dxa"/>
            <w:tcMar/>
          </w:tcPr>
          <w:p w:rsidRPr="00BD0443" w:rsidR="002D3A9F" w:rsidP="488D3157" w:rsidRDefault="002D3A9F" w14:paraId="01E7C38D" w14:textId="77777777">
            <w:pPr>
              <w:pStyle w:val="7Tablebodycopy"/>
              <w:rPr>
                <w:i/>
                <w:iCs/>
                <w:lang w:val="en-GB"/>
              </w:rPr>
            </w:pPr>
            <w:r w:rsidRPr="488D3157">
              <w:rPr>
                <w:i/>
                <w:iCs/>
                <w:lang w:val="en-GB"/>
              </w:rPr>
              <w:t>The SENCO must:</w:t>
            </w:r>
          </w:p>
          <w:p w:rsidRPr="00BD0443" w:rsidR="002D3A9F" w:rsidP="488D3157" w:rsidRDefault="002D3A9F" w14:paraId="334598E5" w14:textId="77777777">
            <w:pPr>
              <w:pStyle w:val="7Tablecopybulleted"/>
              <w:rPr>
                <w:i/>
                <w:iCs/>
                <w:lang w:val="en-GB"/>
              </w:rPr>
            </w:pPr>
            <w:r w:rsidRPr="488D3157">
              <w:rPr>
                <w:i/>
                <w:iCs/>
                <w:lang w:val="en-GB"/>
              </w:rPr>
              <w:t>Be a qualified teacher working at the school</w:t>
            </w:r>
          </w:p>
          <w:p w:rsidRPr="00BD0443" w:rsidR="002D3A9F" w:rsidP="488D3157" w:rsidRDefault="002D3A9F" w14:paraId="10074FAA" w14:textId="77777777">
            <w:pPr>
              <w:pStyle w:val="7Tablecopybulleted"/>
              <w:rPr>
                <w:i/>
                <w:iCs/>
                <w:lang w:val="en-GB"/>
              </w:rPr>
            </w:pPr>
            <w:r w:rsidRPr="488D3157">
              <w:rPr>
                <w:i/>
                <w:iCs/>
                <w:lang w:val="en-GB"/>
              </w:rPr>
              <w:t xml:space="preserve">Achieve a National Award in SEND </w:t>
            </w:r>
            <w:r>
              <w:br/>
            </w:r>
            <w:r w:rsidRPr="488D3157">
              <w:rPr>
                <w:i/>
                <w:iCs/>
                <w:lang w:val="en-GB"/>
              </w:rPr>
              <w:t xml:space="preserve">Co-ordination within 3 years of appointment, unless he/she has previously been a SENCO for a total period of more than </w:t>
            </w:r>
            <w:r>
              <w:br/>
            </w:r>
            <w:r w:rsidRPr="488D3157">
              <w:rPr>
                <w:i/>
                <w:iCs/>
                <w:lang w:val="en-GB"/>
              </w:rPr>
              <w:t>12 months</w:t>
            </w:r>
          </w:p>
          <w:p w:rsidRPr="00107119" w:rsidR="002D3A9F" w:rsidP="488D3157" w:rsidRDefault="002D3A9F" w14:paraId="0B1BB597" w14:textId="45386BDD">
            <w:pPr>
              <w:pStyle w:val="7Tablebodycopy"/>
              <w:tabs>
                <w:tab w:val="left" w:pos="1040"/>
              </w:tabs>
              <w:rPr>
                <w:i/>
                <w:iCs/>
                <w:sz w:val="24"/>
                <w:lang w:val="en-GB"/>
              </w:rPr>
            </w:pPr>
            <w:r w:rsidRPr="488D3157">
              <w:rPr>
                <w:i/>
                <w:iCs/>
                <w:lang w:val="en-GB"/>
              </w:rPr>
              <w:t>The National Award must be a postgraduate course accredited by a recognised higher education provider.</w:t>
            </w:r>
            <w:r w:rsidRPr="488D3157">
              <w:rPr>
                <w:i/>
                <w:iCs/>
                <w:sz w:val="24"/>
                <w:lang w:val="en-GB"/>
              </w:rPr>
              <w:t xml:space="preserve"> </w:t>
            </w:r>
          </w:p>
        </w:tc>
      </w:tr>
      <w:tr w:rsidR="002D3A9F" w:rsidTr="70C67D0E" w14:paraId="34DE60FF" w14:textId="77777777">
        <w:trPr>
          <w:trHeight w:val="442"/>
        </w:trPr>
        <w:tc>
          <w:tcPr>
            <w:tcW w:w="2778" w:type="dxa"/>
            <w:vMerge/>
            <w:tcMar/>
          </w:tcPr>
          <w:p w:rsidR="002D3A9F" w:rsidP="00347774" w:rsidRDefault="002D3A9F" w14:paraId="3359C9A9" w14:textId="77777777"/>
        </w:tc>
        <w:tc>
          <w:tcPr>
            <w:tcW w:w="2779" w:type="dxa"/>
            <w:tcMar/>
          </w:tcPr>
          <w:p w:rsidRPr="00BD0443" w:rsidR="002D3A9F" w:rsidP="00347774" w:rsidRDefault="002D3A9F" w14:paraId="169A2B31" w14:textId="7455518E">
            <w:pPr>
              <w:rPr>
                <w:sz w:val="20"/>
                <w:szCs w:val="20"/>
              </w:rPr>
            </w:pPr>
            <w:r w:rsidRPr="00BD0443">
              <w:rPr>
                <w:sz w:val="20"/>
                <w:szCs w:val="20"/>
              </w:rPr>
              <w:t xml:space="preserve">Do staff who are teaching classes of </w:t>
            </w:r>
            <w:r w:rsidRPr="00BD0443">
              <w:rPr>
                <w:sz w:val="20"/>
                <w:szCs w:val="20"/>
              </w:rPr>
              <w:br/>
            </w:r>
            <w:r w:rsidRPr="00BD0443">
              <w:rPr>
                <w:sz w:val="20"/>
                <w:szCs w:val="20"/>
              </w:rPr>
              <w:t>pupils with sensory impairments hold an appropriate qualification approved by the secretary of state?</w:t>
            </w:r>
          </w:p>
        </w:tc>
        <w:tc>
          <w:tcPr>
            <w:tcW w:w="1951" w:type="dxa"/>
            <w:tcMar/>
          </w:tcPr>
          <w:p w:rsidRPr="00BD0443" w:rsidR="002D3A9F" w:rsidP="00347774" w:rsidRDefault="002D3A9F" w14:paraId="3377C5A0" w14:textId="48662FFE">
            <w:pPr>
              <w:rPr>
                <w:sz w:val="20"/>
                <w:szCs w:val="20"/>
              </w:rPr>
            </w:pPr>
            <w:r w:rsidRPr="00BD0443">
              <w:rPr>
                <w:sz w:val="20"/>
                <w:szCs w:val="20"/>
              </w:rPr>
              <w:t>Statutory</w:t>
            </w:r>
          </w:p>
        </w:tc>
        <w:tc>
          <w:tcPr>
            <w:tcW w:w="1630" w:type="dxa"/>
            <w:tcMar/>
          </w:tcPr>
          <w:p w:rsidRPr="00BD0443" w:rsidR="002D3A9F" w:rsidP="00347774" w:rsidRDefault="002D3A9F" w14:paraId="14E56844" w14:textId="77777777">
            <w:pPr>
              <w:rPr>
                <w:sz w:val="20"/>
                <w:szCs w:val="20"/>
                <w:highlight w:val="yellow"/>
              </w:rPr>
            </w:pPr>
          </w:p>
        </w:tc>
        <w:tc>
          <w:tcPr>
            <w:tcW w:w="4739" w:type="dxa"/>
            <w:tcMar/>
          </w:tcPr>
          <w:p w:rsidRPr="00BD0443" w:rsidR="002D3A9F" w:rsidP="488D3157" w:rsidRDefault="4C9519FE" w14:paraId="3FDDA3B6" w14:textId="695A97D9">
            <w:pPr>
              <w:pStyle w:val="7Tablebodycopy"/>
              <w:rPr>
                <w:i/>
                <w:iCs/>
                <w:lang w:val="en-GB"/>
              </w:rPr>
            </w:pPr>
            <w:r w:rsidRPr="488D3157">
              <w:rPr>
                <w:i/>
                <w:iCs/>
                <w:shd w:val="clear" w:color="auto" w:fill="FFFFFF"/>
                <w:lang w:val="en-GB"/>
              </w:rPr>
              <w:t>Teaching staff who are supporting pupils in an advisory capacity should also hold an appropriate qualification</w:t>
            </w:r>
            <w:r w:rsidRPr="488D3157">
              <w:rPr>
                <w:i/>
                <w:iCs/>
                <w:color w:val="333333"/>
                <w:shd w:val="clear" w:color="auto" w:fill="FFFFFF"/>
                <w:lang w:val="en-GB"/>
              </w:rPr>
              <w:t>.</w:t>
            </w:r>
          </w:p>
        </w:tc>
      </w:tr>
      <w:tr w:rsidR="002D3A9F" w:rsidTr="70C67D0E" w14:paraId="2072F46E" w14:textId="77777777">
        <w:trPr>
          <w:trHeight w:val="442"/>
        </w:trPr>
        <w:tc>
          <w:tcPr>
            <w:tcW w:w="2778" w:type="dxa"/>
            <w:vMerge/>
            <w:tcMar/>
          </w:tcPr>
          <w:p w:rsidR="002D3A9F" w:rsidP="00D30718" w:rsidRDefault="002D3A9F" w14:paraId="72BB9808" w14:textId="77777777"/>
        </w:tc>
        <w:tc>
          <w:tcPr>
            <w:tcW w:w="2779" w:type="dxa"/>
            <w:tcMar/>
          </w:tcPr>
          <w:p w:rsidRPr="00BD0443" w:rsidR="002D3A9F" w:rsidP="00D30718" w:rsidRDefault="002D3A9F" w14:paraId="21C46C16" w14:textId="15487004">
            <w:pPr>
              <w:rPr>
                <w:sz w:val="20"/>
                <w:szCs w:val="20"/>
              </w:rPr>
            </w:pPr>
            <w:r>
              <w:rPr>
                <w:sz w:val="20"/>
                <w:szCs w:val="20"/>
              </w:rPr>
              <w:t xml:space="preserve">Is there due regard to the </w:t>
            </w:r>
            <w:r w:rsidRPr="00BD0443">
              <w:rPr>
                <w:sz w:val="20"/>
                <w:szCs w:val="20"/>
              </w:rPr>
              <w:t>duty to promote disability equality</w:t>
            </w:r>
            <w:r>
              <w:rPr>
                <w:sz w:val="20"/>
                <w:szCs w:val="20"/>
              </w:rPr>
              <w:t>?</w:t>
            </w:r>
          </w:p>
        </w:tc>
        <w:tc>
          <w:tcPr>
            <w:tcW w:w="1951" w:type="dxa"/>
            <w:tcMar/>
          </w:tcPr>
          <w:p w:rsidRPr="00BD0443" w:rsidR="002D3A9F" w:rsidP="00D30718" w:rsidRDefault="002D3A9F" w14:paraId="0773412B" w14:textId="7351DE90">
            <w:pPr>
              <w:rPr>
                <w:sz w:val="20"/>
                <w:szCs w:val="20"/>
              </w:rPr>
            </w:pPr>
            <w:r w:rsidRPr="00BD0443">
              <w:rPr>
                <w:sz w:val="20"/>
                <w:szCs w:val="20"/>
              </w:rPr>
              <w:t>Statutory</w:t>
            </w:r>
          </w:p>
        </w:tc>
        <w:tc>
          <w:tcPr>
            <w:tcW w:w="1630" w:type="dxa"/>
            <w:tcMar/>
          </w:tcPr>
          <w:p w:rsidRPr="00BD0443" w:rsidR="002D3A9F" w:rsidP="00D30718" w:rsidRDefault="002D3A9F" w14:paraId="6B97B26F" w14:textId="77777777">
            <w:pPr>
              <w:rPr>
                <w:sz w:val="20"/>
                <w:szCs w:val="20"/>
              </w:rPr>
            </w:pPr>
          </w:p>
        </w:tc>
        <w:tc>
          <w:tcPr>
            <w:tcW w:w="4739" w:type="dxa"/>
            <w:tcMar/>
          </w:tcPr>
          <w:p w:rsidRPr="00BD0443" w:rsidR="002D3A9F" w:rsidP="488D3157" w:rsidRDefault="4C9519FE" w14:paraId="1FAF0C99" w14:textId="77777777">
            <w:pPr>
              <w:pStyle w:val="7Tablebodycopy"/>
              <w:tabs>
                <w:tab w:val="left" w:pos="1040"/>
              </w:tabs>
              <w:rPr>
                <w:rFonts w:cs="Arial"/>
                <w:i/>
                <w:iCs/>
                <w:shd w:val="clear" w:color="auto" w:fill="FFFFFF"/>
              </w:rPr>
            </w:pPr>
            <w:r w:rsidRPr="25C35E93">
              <w:rPr>
                <w:lang w:val="en-GB"/>
              </w:rPr>
              <w:t>T</w:t>
            </w:r>
            <w:r w:rsidRPr="488D3157">
              <w:rPr>
                <w:i/>
                <w:iCs/>
                <w:lang w:val="en-GB"/>
              </w:rPr>
              <w:t xml:space="preserve">his means complying with the Public Sector Equality Duty. </w:t>
            </w:r>
            <w:r w:rsidRPr="488D3157">
              <w:rPr>
                <w:rFonts w:cs="Arial"/>
                <w:i/>
                <w:iCs/>
                <w:shd w:val="clear" w:color="auto" w:fill="FFFFFF"/>
              </w:rPr>
              <w:t>You're required to have due regard to the need to':</w:t>
            </w:r>
          </w:p>
          <w:p w:rsidRPr="00BD0443" w:rsidR="002D3A9F" w:rsidP="488D3157" w:rsidRDefault="4C9519FE" w14:paraId="1982FF15" w14:textId="77777777">
            <w:pPr>
              <w:pStyle w:val="3Bulletedcopyblue"/>
              <w:numPr>
                <w:ilvl w:val="0"/>
                <w:numId w:val="4"/>
              </w:numPr>
              <w:rPr>
                <w:i/>
                <w:iCs/>
                <w:shd w:val="clear" w:color="auto" w:fill="FFFFFF"/>
              </w:rPr>
            </w:pPr>
            <w:r w:rsidRPr="488D3157">
              <w:rPr>
                <w:i/>
                <w:iCs/>
                <w:shd w:val="clear" w:color="auto" w:fill="FFFFFF"/>
              </w:rPr>
              <w:t>Eliminate discrimination and other prohibited conduct</w:t>
            </w:r>
          </w:p>
          <w:p w:rsidRPr="00BD0443" w:rsidR="002D3A9F" w:rsidP="488D3157" w:rsidRDefault="4C9519FE" w14:paraId="518096A1" w14:textId="77777777">
            <w:pPr>
              <w:pStyle w:val="3Bulletedcopyblue"/>
              <w:numPr>
                <w:ilvl w:val="0"/>
                <w:numId w:val="4"/>
              </w:numPr>
              <w:rPr>
                <w:i/>
                <w:iCs/>
                <w:shd w:val="clear" w:color="auto" w:fill="FFFFFF"/>
              </w:rPr>
            </w:pPr>
            <w:r w:rsidRPr="488D3157">
              <w:rPr>
                <w:i/>
                <w:iCs/>
                <w:shd w:val="clear" w:color="auto" w:fill="FFFFFF"/>
              </w:rPr>
              <w:t>Advance equality of opportunity between people who share a protected characteristic and those who don't</w:t>
            </w:r>
          </w:p>
          <w:p w:rsidRPr="00BD0443" w:rsidR="002D3A9F" w:rsidP="488D3157" w:rsidRDefault="4C9519FE" w14:paraId="35A545C9" w14:textId="4D1F7BB3">
            <w:pPr>
              <w:pStyle w:val="ListParagraph"/>
              <w:numPr>
                <w:ilvl w:val="0"/>
                <w:numId w:val="4"/>
              </w:numPr>
              <w:rPr>
                <w:i/>
                <w:iCs/>
                <w:sz w:val="20"/>
              </w:rPr>
            </w:pPr>
            <w:r w:rsidRPr="488D3157">
              <w:rPr>
                <w:i/>
                <w:iCs/>
                <w:sz w:val="20"/>
                <w:shd w:val="clear" w:color="auto" w:fill="FFFFFF"/>
              </w:rPr>
              <w:t>Foster good relations between people who share a protected characteristic and those who don't</w:t>
            </w:r>
          </w:p>
        </w:tc>
      </w:tr>
      <w:tr w:rsidR="002D3A9F" w:rsidTr="70C67D0E" w14:paraId="00A3EE0A" w14:textId="77777777">
        <w:trPr>
          <w:trHeight w:val="442"/>
        </w:trPr>
        <w:tc>
          <w:tcPr>
            <w:tcW w:w="2778" w:type="dxa"/>
            <w:vMerge/>
            <w:tcMar/>
          </w:tcPr>
          <w:p w:rsidR="002D3A9F" w:rsidP="00D30718" w:rsidRDefault="002D3A9F" w14:paraId="28B69032" w14:textId="77777777"/>
        </w:tc>
        <w:tc>
          <w:tcPr>
            <w:tcW w:w="2779" w:type="dxa"/>
            <w:tcMar/>
          </w:tcPr>
          <w:p w:rsidRPr="00BD0443" w:rsidR="002D3A9F" w:rsidP="00D30718" w:rsidRDefault="002D3A9F" w14:paraId="7EC68DED" w14:textId="6CF46347">
            <w:pPr>
              <w:rPr>
                <w:sz w:val="20"/>
                <w:szCs w:val="20"/>
              </w:rPr>
            </w:pPr>
            <w:r>
              <w:rPr>
                <w:sz w:val="20"/>
                <w:szCs w:val="20"/>
              </w:rPr>
              <w:t xml:space="preserve">Does the school </w:t>
            </w:r>
            <w:r w:rsidRPr="00BD0443">
              <w:rPr>
                <w:sz w:val="20"/>
                <w:szCs w:val="20"/>
              </w:rPr>
              <w:t>liaise with the local authority (LA) about its local offer?</w:t>
            </w:r>
          </w:p>
        </w:tc>
        <w:tc>
          <w:tcPr>
            <w:tcW w:w="1951" w:type="dxa"/>
            <w:tcMar/>
          </w:tcPr>
          <w:p w:rsidRPr="00BD0443" w:rsidR="002D3A9F" w:rsidP="00D30718" w:rsidRDefault="002D3A9F" w14:paraId="223FAD0B" w14:textId="0C57EC05">
            <w:pPr>
              <w:rPr>
                <w:sz w:val="20"/>
                <w:szCs w:val="20"/>
              </w:rPr>
            </w:pPr>
            <w:r w:rsidRPr="00BD0443">
              <w:rPr>
                <w:sz w:val="20"/>
                <w:szCs w:val="20"/>
              </w:rPr>
              <w:t>Statutory</w:t>
            </w:r>
          </w:p>
        </w:tc>
        <w:tc>
          <w:tcPr>
            <w:tcW w:w="1630" w:type="dxa"/>
            <w:tcMar/>
          </w:tcPr>
          <w:p w:rsidRPr="00BD0443" w:rsidR="002D3A9F" w:rsidP="00D30718" w:rsidRDefault="002D3A9F" w14:paraId="7FDE40DB" w14:textId="77777777">
            <w:pPr>
              <w:rPr>
                <w:sz w:val="20"/>
                <w:szCs w:val="20"/>
              </w:rPr>
            </w:pPr>
          </w:p>
        </w:tc>
        <w:tc>
          <w:tcPr>
            <w:tcW w:w="4739" w:type="dxa"/>
            <w:tcMar/>
          </w:tcPr>
          <w:p w:rsidRPr="00BD0443" w:rsidR="002D3A9F" w:rsidP="00107119" w:rsidRDefault="002D3A9F" w14:paraId="0C6B04CD" w14:textId="77777777">
            <w:pPr>
              <w:pStyle w:val="7Tablebodycopy"/>
              <w:tabs>
                <w:tab w:val="left" w:pos="1040"/>
              </w:tabs>
              <w:rPr>
                <w:szCs w:val="20"/>
                <w:lang w:val="en-GB"/>
              </w:rPr>
            </w:pPr>
          </w:p>
        </w:tc>
      </w:tr>
      <w:tr w:rsidR="002D3A9F" w:rsidTr="70C67D0E" w14:paraId="2B27B05F" w14:textId="77777777">
        <w:trPr>
          <w:trHeight w:val="442"/>
        </w:trPr>
        <w:tc>
          <w:tcPr>
            <w:tcW w:w="2778" w:type="dxa"/>
            <w:vMerge/>
            <w:tcMar/>
          </w:tcPr>
          <w:p w:rsidR="002D3A9F" w:rsidP="00D30718" w:rsidRDefault="002D3A9F" w14:paraId="484506E5" w14:textId="77777777"/>
        </w:tc>
        <w:tc>
          <w:tcPr>
            <w:tcW w:w="2779" w:type="dxa"/>
            <w:tcMar/>
          </w:tcPr>
          <w:p w:rsidRPr="00BD0443" w:rsidR="002D3A9F" w:rsidP="00D30718" w:rsidRDefault="002D3A9F" w14:paraId="1B265D87" w14:textId="36866297">
            <w:pPr>
              <w:rPr>
                <w:sz w:val="20"/>
                <w:szCs w:val="20"/>
              </w:rPr>
            </w:pPr>
            <w:r>
              <w:rPr>
                <w:sz w:val="20"/>
                <w:szCs w:val="20"/>
              </w:rPr>
              <w:t xml:space="preserve">Are </w:t>
            </w:r>
            <w:r w:rsidRPr="00BD0443">
              <w:rPr>
                <w:sz w:val="20"/>
                <w:szCs w:val="20"/>
              </w:rPr>
              <w:t>parents</w:t>
            </w:r>
            <w:r>
              <w:rPr>
                <w:sz w:val="20"/>
                <w:szCs w:val="20"/>
              </w:rPr>
              <w:t xml:space="preserve"> informed when </w:t>
            </w:r>
            <w:r w:rsidRPr="00BD0443">
              <w:rPr>
                <w:sz w:val="20"/>
                <w:szCs w:val="20"/>
              </w:rPr>
              <w:t xml:space="preserve">special educational provision </w:t>
            </w:r>
            <w:r>
              <w:rPr>
                <w:sz w:val="20"/>
                <w:szCs w:val="20"/>
              </w:rPr>
              <w:t xml:space="preserve">is made </w:t>
            </w:r>
            <w:r w:rsidRPr="00BD0443">
              <w:rPr>
                <w:sz w:val="20"/>
                <w:szCs w:val="20"/>
              </w:rPr>
              <w:t>for their child?</w:t>
            </w:r>
          </w:p>
        </w:tc>
        <w:tc>
          <w:tcPr>
            <w:tcW w:w="1951" w:type="dxa"/>
            <w:tcMar/>
          </w:tcPr>
          <w:p w:rsidRPr="00BD0443" w:rsidR="002D3A9F" w:rsidP="00D30718" w:rsidRDefault="002D3A9F" w14:paraId="29DED1D2" w14:textId="287333F6">
            <w:pPr>
              <w:rPr>
                <w:sz w:val="20"/>
                <w:szCs w:val="20"/>
              </w:rPr>
            </w:pPr>
            <w:r w:rsidRPr="00BD0443">
              <w:rPr>
                <w:sz w:val="20"/>
                <w:szCs w:val="20"/>
              </w:rPr>
              <w:t>Statutory</w:t>
            </w:r>
          </w:p>
        </w:tc>
        <w:tc>
          <w:tcPr>
            <w:tcW w:w="1630" w:type="dxa"/>
            <w:tcMar/>
          </w:tcPr>
          <w:p w:rsidRPr="00BD0443" w:rsidR="002D3A9F" w:rsidP="00D30718" w:rsidRDefault="002D3A9F" w14:paraId="64242D98" w14:textId="77777777">
            <w:pPr>
              <w:rPr>
                <w:sz w:val="20"/>
                <w:szCs w:val="20"/>
              </w:rPr>
            </w:pPr>
          </w:p>
        </w:tc>
        <w:tc>
          <w:tcPr>
            <w:tcW w:w="4739" w:type="dxa"/>
            <w:tcMar/>
          </w:tcPr>
          <w:p w:rsidRPr="00BD0443" w:rsidR="002D3A9F" w:rsidP="488D3157" w:rsidRDefault="4C9519FE" w14:paraId="5AF604EC" w14:textId="7EC4D6E6">
            <w:pPr>
              <w:rPr>
                <w:i/>
                <w:iCs/>
                <w:sz w:val="20"/>
                <w:szCs w:val="20"/>
              </w:rPr>
            </w:pPr>
            <w:r w:rsidRPr="488D3157">
              <w:rPr>
                <w:i/>
                <w:iCs/>
                <w:color w:val="333333"/>
                <w:sz w:val="20"/>
                <w:szCs w:val="20"/>
                <w:shd w:val="clear" w:color="auto" w:fill="FFFFFF"/>
              </w:rPr>
              <w:t>Parents should have been involved in the assessment of the pupil's needs before a decision to provide SEND support is made.</w:t>
            </w:r>
          </w:p>
        </w:tc>
      </w:tr>
      <w:tr w:rsidR="002D3A9F" w:rsidTr="70C67D0E" w14:paraId="047B2BC8" w14:textId="77777777">
        <w:trPr>
          <w:trHeight w:val="442"/>
        </w:trPr>
        <w:tc>
          <w:tcPr>
            <w:tcW w:w="2778" w:type="dxa"/>
            <w:vMerge/>
            <w:tcMar/>
          </w:tcPr>
          <w:p w:rsidR="002D3A9F" w:rsidP="00D30718" w:rsidRDefault="002D3A9F" w14:paraId="507979AC" w14:textId="77777777"/>
        </w:tc>
        <w:tc>
          <w:tcPr>
            <w:tcW w:w="2779" w:type="dxa"/>
            <w:tcMar/>
          </w:tcPr>
          <w:p w:rsidRPr="00BD0443" w:rsidR="002D3A9F" w:rsidP="007F4C65" w:rsidRDefault="002D3A9F" w14:paraId="742E522E" w14:textId="3BEB3D5F">
            <w:pPr>
              <w:pStyle w:val="7TableHeading"/>
              <w:rPr>
                <w:color w:val="auto"/>
                <w:lang w:val="en-GB"/>
              </w:rPr>
            </w:pPr>
            <w:r>
              <w:rPr>
                <w:color w:val="auto"/>
                <w:lang w:val="en-GB"/>
              </w:rPr>
              <w:t>Is</w:t>
            </w:r>
            <w:r w:rsidRPr="00BD0443">
              <w:rPr>
                <w:color w:val="auto"/>
                <w:lang w:val="en-GB"/>
              </w:rPr>
              <w:t xml:space="preserve"> an annual report for parents on their child’s progress</w:t>
            </w:r>
            <w:r>
              <w:rPr>
                <w:color w:val="auto"/>
                <w:lang w:val="en-GB"/>
              </w:rPr>
              <w:t xml:space="preserve"> provided</w:t>
            </w:r>
            <w:r w:rsidRPr="00BD0443">
              <w:rPr>
                <w:color w:val="auto"/>
                <w:lang w:val="en-GB"/>
              </w:rPr>
              <w:t>?</w:t>
            </w:r>
          </w:p>
          <w:p w:rsidRPr="00BD0443" w:rsidR="002D3A9F" w:rsidP="00D30718" w:rsidRDefault="002D3A9F" w14:paraId="5F3DAA4D" w14:textId="77777777">
            <w:pPr>
              <w:rPr>
                <w:sz w:val="20"/>
                <w:szCs w:val="20"/>
              </w:rPr>
            </w:pPr>
          </w:p>
        </w:tc>
        <w:tc>
          <w:tcPr>
            <w:tcW w:w="1951" w:type="dxa"/>
            <w:tcMar/>
          </w:tcPr>
          <w:p w:rsidRPr="00BD0443" w:rsidR="002D3A9F" w:rsidP="00D30718" w:rsidRDefault="002D3A9F" w14:paraId="5BBB3E9D" w14:textId="004E8A3A">
            <w:pPr>
              <w:rPr>
                <w:sz w:val="20"/>
                <w:szCs w:val="20"/>
              </w:rPr>
            </w:pPr>
            <w:r w:rsidRPr="00BD0443">
              <w:rPr>
                <w:sz w:val="20"/>
                <w:szCs w:val="20"/>
              </w:rPr>
              <w:t>Statutory</w:t>
            </w:r>
          </w:p>
        </w:tc>
        <w:tc>
          <w:tcPr>
            <w:tcW w:w="1630" w:type="dxa"/>
            <w:tcMar/>
          </w:tcPr>
          <w:p w:rsidRPr="00BD0443" w:rsidR="002D3A9F" w:rsidP="00D30718" w:rsidRDefault="002D3A9F" w14:paraId="395DE36E" w14:textId="77777777">
            <w:pPr>
              <w:rPr>
                <w:sz w:val="20"/>
                <w:szCs w:val="20"/>
              </w:rPr>
            </w:pPr>
          </w:p>
        </w:tc>
        <w:tc>
          <w:tcPr>
            <w:tcW w:w="4739" w:type="dxa"/>
            <w:tcMar/>
          </w:tcPr>
          <w:p w:rsidRPr="00BD0443" w:rsidR="002D3A9F" w:rsidP="00D30718" w:rsidRDefault="002D3A9F" w14:paraId="61EAB6FE" w14:textId="77777777">
            <w:pPr>
              <w:rPr>
                <w:color w:val="333333"/>
                <w:sz w:val="20"/>
                <w:szCs w:val="20"/>
                <w:shd w:val="clear" w:color="auto" w:fill="FFFFFF"/>
              </w:rPr>
            </w:pPr>
          </w:p>
        </w:tc>
      </w:tr>
      <w:tr w:rsidR="002D3A9F" w:rsidTr="70C67D0E" w14:paraId="407B62C2" w14:textId="77777777">
        <w:trPr>
          <w:trHeight w:val="765"/>
        </w:trPr>
        <w:tc>
          <w:tcPr>
            <w:tcW w:w="2778" w:type="dxa"/>
            <w:vMerge/>
            <w:tcMar/>
          </w:tcPr>
          <w:p w:rsidR="002D3A9F" w:rsidP="00D30718" w:rsidRDefault="002D3A9F" w14:paraId="7517F394" w14:textId="77777777"/>
        </w:tc>
        <w:tc>
          <w:tcPr>
            <w:tcW w:w="2779" w:type="dxa"/>
            <w:tcMar/>
          </w:tcPr>
          <w:p w:rsidRPr="00BD0443" w:rsidR="002D3A9F" w:rsidP="00D30718" w:rsidRDefault="002D3A9F" w14:paraId="32E869E1" w14:textId="7F7054BD">
            <w:pPr>
              <w:rPr>
                <w:sz w:val="20"/>
                <w:szCs w:val="20"/>
              </w:rPr>
            </w:pPr>
            <w:r w:rsidRPr="00BD0443">
              <w:rPr>
                <w:sz w:val="20"/>
                <w:szCs w:val="20"/>
              </w:rPr>
              <w:t>Do we make sure that children and young people with SEND engage in the activities of the school alongside those who do not have SEND?</w:t>
            </w:r>
          </w:p>
        </w:tc>
        <w:tc>
          <w:tcPr>
            <w:tcW w:w="1951" w:type="dxa"/>
            <w:tcMar/>
          </w:tcPr>
          <w:p w:rsidRPr="00BD0443" w:rsidR="002D3A9F" w:rsidP="00D30718" w:rsidRDefault="002D3A9F" w14:paraId="1932B2FC" w14:textId="1AABB0EA">
            <w:pPr>
              <w:rPr>
                <w:sz w:val="20"/>
                <w:szCs w:val="20"/>
              </w:rPr>
            </w:pPr>
            <w:r w:rsidRPr="00BD0443">
              <w:rPr>
                <w:sz w:val="20"/>
                <w:szCs w:val="20"/>
              </w:rPr>
              <w:t>Statutory</w:t>
            </w:r>
          </w:p>
        </w:tc>
        <w:tc>
          <w:tcPr>
            <w:tcW w:w="1630" w:type="dxa"/>
            <w:tcMar/>
          </w:tcPr>
          <w:p w:rsidR="002D3A9F" w:rsidP="00D30718" w:rsidRDefault="002D3A9F" w14:paraId="490923A5" w14:textId="77777777"/>
        </w:tc>
        <w:tc>
          <w:tcPr>
            <w:tcW w:w="4739" w:type="dxa"/>
            <w:tcMar/>
          </w:tcPr>
          <w:p w:rsidR="002D3A9F" w:rsidP="00D30718" w:rsidRDefault="002D3A9F" w14:paraId="7EA95052" w14:textId="77777777"/>
        </w:tc>
      </w:tr>
      <w:tr w:rsidR="002D3A9F" w:rsidTr="70C67D0E" w14:paraId="69189AEA" w14:textId="77777777">
        <w:trPr>
          <w:trHeight w:val="764"/>
        </w:trPr>
        <w:tc>
          <w:tcPr>
            <w:tcW w:w="2778" w:type="dxa"/>
            <w:vMerge/>
            <w:tcMar/>
          </w:tcPr>
          <w:p w:rsidR="002D3A9F" w:rsidP="00D30718" w:rsidRDefault="002D3A9F" w14:paraId="7659D633" w14:textId="77777777"/>
        </w:tc>
        <w:tc>
          <w:tcPr>
            <w:tcW w:w="2779" w:type="dxa"/>
            <w:tcMar/>
          </w:tcPr>
          <w:p w:rsidRPr="00BD0443" w:rsidR="002D3A9F" w:rsidP="00D30718" w:rsidRDefault="002D3A9F" w14:paraId="6F7B59E3" w14:textId="2678492B">
            <w:pPr>
              <w:rPr>
                <w:sz w:val="20"/>
                <w:szCs w:val="20"/>
              </w:rPr>
            </w:pPr>
            <w:r>
              <w:rPr>
                <w:sz w:val="20"/>
                <w:szCs w:val="20"/>
              </w:rPr>
              <w:t>Is the DSL trained in recognising the additional risks that children with SEND face?</w:t>
            </w:r>
          </w:p>
        </w:tc>
        <w:tc>
          <w:tcPr>
            <w:tcW w:w="1951" w:type="dxa"/>
            <w:tcMar/>
          </w:tcPr>
          <w:p w:rsidRPr="00BD0443" w:rsidR="002D3A9F" w:rsidP="00D30718" w:rsidRDefault="002D3A9F" w14:paraId="6A3440F0" w14:textId="3F153C0A">
            <w:pPr>
              <w:rPr>
                <w:sz w:val="20"/>
                <w:szCs w:val="20"/>
              </w:rPr>
            </w:pPr>
            <w:r>
              <w:rPr>
                <w:sz w:val="20"/>
                <w:szCs w:val="20"/>
              </w:rPr>
              <w:t>Statutory</w:t>
            </w:r>
          </w:p>
        </w:tc>
        <w:tc>
          <w:tcPr>
            <w:tcW w:w="1630" w:type="dxa"/>
            <w:tcMar/>
          </w:tcPr>
          <w:p w:rsidR="002D3A9F" w:rsidP="00D30718" w:rsidRDefault="002D3A9F" w14:paraId="71AC318B" w14:textId="157AC3EA"/>
        </w:tc>
        <w:tc>
          <w:tcPr>
            <w:tcW w:w="4739" w:type="dxa"/>
            <w:tcMar/>
          </w:tcPr>
          <w:p w:rsidR="002D3A9F" w:rsidP="00D30718" w:rsidRDefault="002D3A9F" w14:paraId="75F59316" w14:textId="77777777"/>
        </w:tc>
      </w:tr>
    </w:tbl>
    <w:p w:rsidR="00232DB6" w:rsidP="00D30718" w:rsidRDefault="00232DB6" w14:paraId="588887D0" w14:textId="2425FBBB"/>
    <w:p w:rsidR="003D23C1" w:rsidP="00D30718" w:rsidRDefault="003D23C1" w14:paraId="6036EBDB" w14:textId="2F1336FB"/>
    <w:p w:rsidR="003D23C1" w:rsidP="00D30718" w:rsidRDefault="003D23C1" w14:paraId="0F30FE66" w14:textId="28DDD129"/>
    <w:p w:rsidR="003D23C1" w:rsidP="00D30718" w:rsidRDefault="003D23C1" w14:paraId="60ADE5D0" w14:textId="35B69C72"/>
    <w:p w:rsidR="003D23C1" w:rsidP="00D30718" w:rsidRDefault="003D23C1" w14:paraId="399C817A" w14:textId="731F845D"/>
    <w:p w:rsidR="003D23C1" w:rsidP="00D30718" w:rsidRDefault="003D23C1" w14:paraId="1B25CC76" w14:textId="276F307F">
      <w:r>
        <w:t>Appendix 1</w:t>
      </w:r>
    </w:p>
    <w:p w:rsidR="003D23C1" w:rsidP="003D23C1" w:rsidRDefault="003D23C1" w14:paraId="74462980" w14:textId="033C597E">
      <w:pPr>
        <w:pStyle w:val="Default"/>
        <w:jc w:val="center"/>
        <w:rPr>
          <w:rFonts w:cstheme="minorBidi"/>
          <w:color w:val="auto"/>
          <w:sz w:val="55"/>
          <w:szCs w:val="55"/>
        </w:rPr>
      </w:pPr>
      <w:r>
        <w:rPr>
          <w:rFonts w:cstheme="minorBidi"/>
          <w:color w:val="auto"/>
          <w:sz w:val="55"/>
          <w:szCs w:val="55"/>
        </w:rPr>
        <w:t>How To Use the Southwark SEND Standards</w:t>
      </w:r>
    </w:p>
    <w:p w:rsidR="003D23C1" w:rsidP="003D23C1" w:rsidRDefault="003D23C1" w14:paraId="42B311E7" w14:textId="77777777">
      <w:pPr>
        <w:pStyle w:val="Default"/>
        <w:jc w:val="center"/>
        <w:rPr>
          <w:rFonts w:cstheme="minorBidi"/>
          <w:color w:val="auto"/>
          <w:sz w:val="55"/>
          <w:szCs w:val="55"/>
        </w:rPr>
      </w:pPr>
      <w:r>
        <w:rPr>
          <w:rFonts w:cstheme="minorBidi"/>
          <w:color w:val="auto"/>
          <w:sz w:val="55"/>
          <w:szCs w:val="55"/>
        </w:rPr>
        <w:t>School Self- Assessment Tool</w:t>
      </w:r>
    </w:p>
    <w:p w:rsidRPr="00D30718" w:rsidR="003D23C1" w:rsidP="003D23C1" w:rsidRDefault="003D23C1" w14:paraId="6AC2B53D" w14:textId="77777777">
      <w:pPr>
        <w:pStyle w:val="Default"/>
        <w:jc w:val="center"/>
        <w:rPr>
          <w:rFonts w:cstheme="minorBidi"/>
          <w:color w:val="auto"/>
          <w:sz w:val="32"/>
          <w:szCs w:val="32"/>
        </w:rPr>
      </w:pPr>
      <w:r w:rsidRPr="00D30718">
        <w:rPr>
          <w:rFonts w:cstheme="minorBidi"/>
          <w:color w:val="auto"/>
          <w:sz w:val="32"/>
          <w:szCs w:val="32"/>
        </w:rPr>
        <w:t>For provision in mainstream schools</w:t>
      </w:r>
    </w:p>
    <w:p w:rsidR="003D23C1" w:rsidP="00D30718" w:rsidRDefault="003D23C1" w14:paraId="250F2790" w14:textId="76C4B5F0">
      <w:pPr>
        <w:rPr>
          <w:b/>
        </w:rPr>
      </w:pPr>
      <w:r w:rsidRPr="003D23C1">
        <w:rPr>
          <w:b/>
        </w:rPr>
        <w:t>There are many ways this tool can be used to audit your provision and prioritise actions. Below are a few suggestions</w:t>
      </w:r>
      <w:r>
        <w:rPr>
          <w:b/>
        </w:rPr>
        <w:t>:</w:t>
      </w:r>
    </w:p>
    <w:p w:rsidR="00672710" w:rsidP="00D30718" w:rsidRDefault="00672710" w14:paraId="7384BD7B" w14:textId="77777777">
      <w:pPr>
        <w:rPr>
          <w:b/>
        </w:rPr>
      </w:pPr>
    </w:p>
    <w:p w:rsidRPr="00672710" w:rsidR="003D23C1" w:rsidP="00672710" w:rsidRDefault="003D23C1" w14:paraId="3AB1154F" w14:textId="770D65A8">
      <w:pPr>
        <w:rPr>
          <w:b/>
        </w:rPr>
      </w:pPr>
      <w:r w:rsidRPr="00672710">
        <w:rPr>
          <w:b/>
          <w:u w:val="single"/>
        </w:rPr>
        <w:t>Whole School SEND Provision Audit</w:t>
      </w:r>
    </w:p>
    <w:p w:rsidR="003D23C1" w:rsidP="003D23C1" w:rsidRDefault="003D23C1" w14:paraId="0EA8477F" w14:textId="786D473E">
      <w:r>
        <w:t>If you have not completed a SEND review or audit in the last 3 years then this is probably a good place to start. It will provide an holistic picture of SEND provision, highlight the strengths and areas for development and inform strategic planning for the year. This audit will need to be carefully planned and agreed with SLT. A member of the leadership team should also be</w:t>
      </w:r>
      <w:r w:rsidR="00254FE4">
        <w:t xml:space="preserve"> actively involved in the audit</w:t>
      </w:r>
      <w:r>
        <w:t>.</w:t>
      </w:r>
    </w:p>
    <w:p w:rsidR="00035C40" w:rsidP="003D23C1" w:rsidRDefault="00035C40" w14:paraId="1709C19B" w14:textId="2B68F4C4">
      <w:r>
        <w:t>Read through the different SEND Standard</w:t>
      </w:r>
      <w:r w:rsidR="00254FE4">
        <w:t xml:space="preserve">s </w:t>
      </w:r>
      <w:r>
        <w:t>and questions and think about what evidence you may need to gather, which members of staff you need to involve and any observations you could make.</w:t>
      </w:r>
      <w:r w:rsidR="00672710">
        <w:t xml:space="preserve"> Draft a review timetable and have this agreed at SLT. Set a date and make sure all people involved understand the purpose and process.</w:t>
      </w:r>
    </w:p>
    <w:p w:rsidR="00672710" w:rsidP="003D23C1" w:rsidRDefault="00672710" w14:paraId="37E192D1" w14:textId="586C74B7">
      <w:r>
        <w:t>Use the continuum 1- 4 (sustaining, implementing, developing, identifying) to rag rate each question. Use the actions/next steps to make notes on what you find and what you intend to do next.</w:t>
      </w:r>
    </w:p>
    <w:p w:rsidR="00672710" w:rsidP="003D23C1" w:rsidRDefault="00672710" w14:paraId="53C67868" w14:textId="5524E292">
      <w:r>
        <w:t xml:space="preserve">Once completed share the findings with SLT and agree next steps. It may be that you decide to focus on one particular SEND Standard as a school or select priorities across different Standards. </w:t>
      </w:r>
    </w:p>
    <w:p w:rsidR="00672710" w:rsidP="003D23C1" w:rsidRDefault="00672710" w14:paraId="0314E7EB" w14:textId="41C498E5">
      <w:r>
        <w:t>It is recommendable to then create an action plan detailing more specifically the steps you will take, who is responsible and when they are to be completed by. This action plan should be reviewed at regular intervals.</w:t>
      </w:r>
    </w:p>
    <w:p w:rsidR="00672710" w:rsidP="003D23C1" w:rsidRDefault="00672710" w14:paraId="2E2A60DC" w14:textId="0FBD75C8">
      <w:r>
        <w:t>The SEND Consultant allocated to your scho</w:t>
      </w:r>
      <w:r w:rsidR="0094148B">
        <w:t>ol can support with this</w:t>
      </w:r>
      <w:r>
        <w:t xml:space="preserve"> and provi</w:t>
      </w:r>
      <w:r w:rsidR="00567097">
        <w:t>de external quality assurance to the</w:t>
      </w:r>
      <w:r>
        <w:t xml:space="preserve"> proces</w:t>
      </w:r>
      <w:r w:rsidR="004709F7">
        <w:t xml:space="preserve">s. </w:t>
      </w:r>
    </w:p>
    <w:p w:rsidR="0094148B" w:rsidP="003D23C1" w:rsidRDefault="0094148B" w14:paraId="5B3D286D" w14:textId="77777777"/>
    <w:p w:rsidR="004709F7" w:rsidP="004709F7" w:rsidRDefault="004709F7" w14:paraId="1961A6B9" w14:textId="7A5906DC">
      <w:pPr>
        <w:rPr>
          <w:b/>
          <w:u w:val="single"/>
        </w:rPr>
      </w:pPr>
      <w:r w:rsidRPr="00672710">
        <w:rPr>
          <w:b/>
          <w:u w:val="single"/>
        </w:rPr>
        <w:t xml:space="preserve">SEND </w:t>
      </w:r>
      <w:r>
        <w:rPr>
          <w:b/>
          <w:u w:val="single"/>
        </w:rPr>
        <w:t xml:space="preserve">Standard </w:t>
      </w:r>
      <w:r w:rsidRPr="00672710">
        <w:rPr>
          <w:b/>
          <w:u w:val="single"/>
        </w:rPr>
        <w:t>Provision Audit</w:t>
      </w:r>
    </w:p>
    <w:p w:rsidR="004709F7" w:rsidP="004709F7" w:rsidRDefault="00975826" w14:paraId="446925D3" w14:textId="134A8E67">
      <w:r>
        <w:t>If you have conducted a full SEND provision audit in the last 3 years and feel confident and knowledgeable about the school’s strengths and areas of development, you may find completing an audit around one SEND Standard is more appropriate. Select the Standard you wish to focus on and read through the statements and questions</w:t>
      </w:r>
      <w:r w:rsidR="00567097">
        <w:t>,</w:t>
      </w:r>
      <w:r>
        <w:t xml:space="preserve"> thinking about what evidence you need to gather and what you need to do to capture an accurate picture. </w:t>
      </w:r>
    </w:p>
    <w:p w:rsidR="00975826" w:rsidP="00975826" w:rsidRDefault="00975826" w14:paraId="53727C89" w14:textId="6E171236">
      <w:r>
        <w:t>Make sure SLT have agreed your rationale and are part of the audit. Devise a progra</w:t>
      </w:r>
      <w:r w:rsidR="00567097">
        <w:t xml:space="preserve">mme or timetable. It may be over </w:t>
      </w:r>
      <w:r>
        <w:t>half a day or a series of mini activities</w:t>
      </w:r>
      <w:r w:rsidR="00567097">
        <w:t xml:space="preserve"> planned</w:t>
      </w:r>
      <w:r>
        <w:t xml:space="preserve"> across a week. Use the audit tool </w:t>
      </w:r>
      <w:r w:rsidR="0094148B">
        <w:t>to guide you through the process.</w:t>
      </w:r>
      <w:r>
        <w:t xml:space="preserve"> Use the continuum 1- 4 (sustaining, implementing, developing, identifying) to rag rate each question. Use the actions/next steps to make notes on what you find and what you intend to do next.</w:t>
      </w:r>
    </w:p>
    <w:p w:rsidR="00975826" w:rsidP="00975826" w:rsidRDefault="00975826" w14:paraId="6A206A3C" w14:textId="42AE8348">
      <w:r>
        <w:t xml:space="preserve">Once completed share the findings with SLT and agree next steps. It may be that you decide to focus on one particular </w:t>
      </w:r>
      <w:r w:rsidR="0094148B">
        <w:t xml:space="preserve">aspect of a </w:t>
      </w:r>
      <w:r>
        <w:t>SEND Standard as a school or select priorit</w:t>
      </w:r>
      <w:r w:rsidR="0094148B">
        <w:t>ies across the whole Standard.</w:t>
      </w:r>
    </w:p>
    <w:p w:rsidR="00975826" w:rsidP="00975826" w:rsidRDefault="00975826" w14:paraId="78987129" w14:textId="77777777">
      <w:r>
        <w:t>It is recommendable to then create an action plan detailing more specifically the steps you will take, who is responsible and when they are to be completed by. This action plan should be reviewed at regular intervals.</w:t>
      </w:r>
    </w:p>
    <w:p w:rsidR="00975826" w:rsidP="00975826" w:rsidRDefault="00975826" w14:paraId="0B3A2B48" w14:textId="172D45A8">
      <w:r>
        <w:t>The SEND Consultant allocated to your scho</w:t>
      </w:r>
      <w:r w:rsidR="0094148B">
        <w:t xml:space="preserve">ol can support with this </w:t>
      </w:r>
      <w:r>
        <w:t>and provide ext</w:t>
      </w:r>
      <w:r w:rsidR="00567097">
        <w:t xml:space="preserve">ernal quality assurance to the </w:t>
      </w:r>
      <w:r>
        <w:t xml:space="preserve">process. </w:t>
      </w:r>
    </w:p>
    <w:p w:rsidRPr="004709F7" w:rsidR="00975826" w:rsidP="004709F7" w:rsidRDefault="00975826" w14:paraId="041A9CDD" w14:textId="35A69A19"/>
    <w:p w:rsidR="0094148B" w:rsidP="003D23C1" w:rsidRDefault="0094148B" w14:paraId="4E542EA5" w14:textId="77777777">
      <w:pPr>
        <w:rPr>
          <w:b/>
          <w:u w:val="single"/>
        </w:rPr>
      </w:pPr>
    </w:p>
    <w:p w:rsidR="69DA50F7" w:rsidP="69DA50F7" w:rsidRDefault="69DA50F7" w14:paraId="52714EA3" w14:textId="2B1DD6A9">
      <w:pPr>
        <w:rPr>
          <w:b/>
          <w:bCs/>
          <w:u w:val="single"/>
        </w:rPr>
      </w:pPr>
    </w:p>
    <w:p w:rsidRPr="0094148B" w:rsidR="004709F7" w:rsidP="69DA50F7" w:rsidRDefault="0094148B" w14:paraId="3732227B" w14:textId="5CF21F60">
      <w:pPr>
        <w:rPr>
          <w:b/>
          <w:bCs/>
          <w:u w:val="single"/>
        </w:rPr>
      </w:pPr>
      <w:r w:rsidRPr="69DA50F7">
        <w:rPr>
          <w:b/>
          <w:bCs/>
          <w:u w:val="single"/>
        </w:rPr>
        <w:t>Drilling Down on one aspect of SEND Provision</w:t>
      </w:r>
    </w:p>
    <w:p w:rsidRPr="0094148B" w:rsidR="003D23C1" w:rsidP="003D23C1" w:rsidRDefault="0094148B" w14:paraId="4747B80D" w14:textId="578E17EC">
      <w:r>
        <w:t>You may already have clearly identified the area of SEND provision you wish to focus on. Find the Standard(s) this area is aligned to and use the audit questions to help you evaluate strengths and next steps. You may wish to break down a question into smaller sub sections allowing for a more forensic examination of a particular area.</w:t>
      </w:r>
      <w:r w:rsidR="00567097">
        <w:t xml:space="preserve"> An example is below:</w:t>
      </w:r>
    </w:p>
    <w:tbl>
      <w:tblPr>
        <w:tblStyle w:val="TableGrid"/>
        <w:tblW w:w="0" w:type="auto"/>
        <w:tblLayout w:type="fixed"/>
        <w:tblLook w:val="04A0" w:firstRow="1" w:lastRow="0" w:firstColumn="1" w:lastColumn="0" w:noHBand="0" w:noVBand="1"/>
      </w:tblPr>
      <w:tblGrid>
        <w:gridCol w:w="2779"/>
        <w:gridCol w:w="1951"/>
        <w:gridCol w:w="1630"/>
        <w:gridCol w:w="4739"/>
      </w:tblGrid>
      <w:tr w:rsidR="0094148B" w:rsidTr="0076153E" w14:paraId="7F30A7CB" w14:textId="77777777">
        <w:trPr>
          <w:trHeight w:val="670"/>
        </w:trPr>
        <w:tc>
          <w:tcPr>
            <w:tcW w:w="2779" w:type="dxa"/>
            <w:shd w:val="clear" w:color="auto" w:fill="FFFF00"/>
          </w:tcPr>
          <w:p w:rsidR="0076153E" w:rsidP="001024BB" w:rsidRDefault="008D2D92" w14:paraId="39B33B94" w14:textId="386CC57B">
            <w:pPr>
              <w:pStyle w:val="7Tablebodycopy"/>
              <w:rPr>
                <w:szCs w:val="20"/>
                <w:shd w:val="clear" w:color="auto" w:fill="FFFFFF"/>
                <w:lang w:val="en-GB"/>
              </w:rPr>
            </w:pPr>
            <w:r w:rsidRPr="008D2D92">
              <w:rPr>
                <w:szCs w:val="20"/>
                <w:shd w:val="clear" w:color="auto" w:fill="FFFF00"/>
                <w:lang w:val="en-GB"/>
              </w:rPr>
              <w:t>SEND Standard</w:t>
            </w:r>
          </w:p>
        </w:tc>
        <w:tc>
          <w:tcPr>
            <w:tcW w:w="1951" w:type="dxa"/>
            <w:shd w:val="clear" w:color="auto" w:fill="FFFF00"/>
          </w:tcPr>
          <w:p w:rsidR="0094148B" w:rsidP="001024BB" w:rsidRDefault="0094148B" w14:paraId="2C016021" w14:textId="77777777">
            <w:pPr>
              <w:rPr>
                <w:sz w:val="20"/>
                <w:szCs w:val="20"/>
              </w:rPr>
            </w:pPr>
            <w:r>
              <w:rPr>
                <w:sz w:val="20"/>
                <w:szCs w:val="20"/>
              </w:rPr>
              <w:t>Statutory</w:t>
            </w:r>
          </w:p>
        </w:tc>
        <w:tc>
          <w:tcPr>
            <w:tcW w:w="1630" w:type="dxa"/>
            <w:shd w:val="clear" w:color="auto" w:fill="FFFF00"/>
          </w:tcPr>
          <w:p w:rsidR="0094148B" w:rsidP="001024BB" w:rsidRDefault="0076153E" w14:paraId="4BD190C7" w14:textId="252A4D53">
            <w:r>
              <w:rPr>
                <w:sz w:val="20"/>
                <w:szCs w:val="20"/>
              </w:rPr>
              <w:t>Rag Rating</w:t>
            </w:r>
            <w:r>
              <w:t xml:space="preserve"> </w:t>
            </w:r>
          </w:p>
        </w:tc>
        <w:tc>
          <w:tcPr>
            <w:tcW w:w="4739" w:type="dxa"/>
            <w:shd w:val="clear" w:color="auto" w:fill="FFFF00"/>
          </w:tcPr>
          <w:p w:rsidR="0094148B" w:rsidP="001024BB" w:rsidRDefault="008D2D92" w14:paraId="41AC0460" w14:textId="4AC85664">
            <w:pPr>
              <w:rPr>
                <w:rFonts w:eastAsia="MS Mincho" w:cs="Times New Roman"/>
                <w:sz w:val="20"/>
                <w:szCs w:val="20"/>
                <w:shd w:val="clear" w:color="auto" w:fill="FFFFFF"/>
              </w:rPr>
            </w:pPr>
            <w:r w:rsidRPr="008D2D92">
              <w:rPr>
                <w:rFonts w:eastAsia="MS Mincho" w:cs="Times New Roman"/>
                <w:sz w:val="20"/>
                <w:szCs w:val="20"/>
                <w:shd w:val="clear" w:color="auto" w:fill="FFFF00"/>
              </w:rPr>
              <w:t>Required Actions and Next Steps</w:t>
            </w:r>
          </w:p>
        </w:tc>
      </w:tr>
      <w:tr w:rsidR="007B24BA" w:rsidTr="001024BB" w14:paraId="7886CCF9" w14:textId="77777777">
        <w:trPr>
          <w:trHeight w:val="670"/>
        </w:trPr>
        <w:tc>
          <w:tcPr>
            <w:tcW w:w="2779" w:type="dxa"/>
          </w:tcPr>
          <w:p w:rsidRPr="00567097" w:rsidR="0076153E" w:rsidP="001024BB" w:rsidRDefault="0076153E" w14:paraId="471E12FF" w14:textId="47E09725">
            <w:pPr>
              <w:pStyle w:val="7Tablebodycopy"/>
              <w:rPr>
                <w:b/>
                <w:szCs w:val="20"/>
                <w:shd w:val="clear" w:color="auto" w:fill="FFFFFF"/>
                <w:lang w:val="en-GB"/>
              </w:rPr>
            </w:pPr>
            <w:r w:rsidRPr="00567097">
              <w:rPr>
                <w:b/>
                <w:szCs w:val="20"/>
                <w:shd w:val="clear" w:color="auto" w:fill="FFFFFF"/>
                <w:lang w:val="en-GB"/>
              </w:rPr>
              <w:t>Does the EHC needs assessment application demonstrate a robust assess, plan, do, review process over time that meets the Southwark SEND Standards?</w:t>
            </w:r>
          </w:p>
          <w:p w:rsidR="007B24BA" w:rsidP="001024BB" w:rsidRDefault="007B24BA" w14:paraId="47963893" w14:textId="26EF5860">
            <w:pPr>
              <w:pStyle w:val="7Tablebodycopy"/>
              <w:rPr>
                <w:szCs w:val="20"/>
                <w:shd w:val="clear" w:color="auto" w:fill="FFFFFF"/>
                <w:lang w:val="en-GB"/>
              </w:rPr>
            </w:pPr>
            <w:r>
              <w:rPr>
                <w:szCs w:val="20"/>
                <w:shd w:val="clear" w:color="auto" w:fill="FFFFFF"/>
                <w:lang w:val="en-GB"/>
              </w:rPr>
              <w:t>Checklist:</w:t>
            </w:r>
          </w:p>
          <w:p w:rsidR="007B24BA" w:rsidP="001024BB" w:rsidRDefault="007B24BA" w14:paraId="2C69B441" w14:textId="77777777">
            <w:pPr>
              <w:pStyle w:val="7Tablebodycopy"/>
              <w:rPr>
                <w:szCs w:val="20"/>
                <w:shd w:val="clear" w:color="auto" w:fill="FFFFFF"/>
                <w:lang w:val="en-GB"/>
              </w:rPr>
            </w:pPr>
            <w:r>
              <w:rPr>
                <w:szCs w:val="20"/>
                <w:shd w:val="clear" w:color="auto" w:fill="FFFFFF"/>
                <w:lang w:val="en-GB"/>
              </w:rPr>
              <w:t>Review SEN policy for guidelines</w:t>
            </w:r>
          </w:p>
          <w:p w:rsidR="007B24BA" w:rsidP="001024BB" w:rsidRDefault="007B24BA" w14:paraId="4DC83BB0" w14:textId="77777777">
            <w:pPr>
              <w:pStyle w:val="7Tablebodycopy"/>
              <w:rPr>
                <w:szCs w:val="20"/>
                <w:shd w:val="clear" w:color="auto" w:fill="FFFFFF"/>
                <w:lang w:val="en-GB"/>
              </w:rPr>
            </w:pPr>
            <w:r>
              <w:rPr>
                <w:szCs w:val="20"/>
                <w:shd w:val="clear" w:color="auto" w:fill="FFFFFF"/>
                <w:lang w:val="en-GB"/>
              </w:rPr>
              <w:t xml:space="preserve">QA recent applications </w:t>
            </w:r>
          </w:p>
          <w:p w:rsidR="007B24BA" w:rsidP="001024BB" w:rsidRDefault="007B24BA" w14:paraId="2621303D" w14:textId="598ED60D">
            <w:pPr>
              <w:pStyle w:val="7Tablebodycopy"/>
              <w:rPr>
                <w:szCs w:val="20"/>
                <w:shd w:val="clear" w:color="auto" w:fill="FFFFFF"/>
                <w:lang w:val="en-GB"/>
              </w:rPr>
            </w:pPr>
            <w:r>
              <w:rPr>
                <w:szCs w:val="20"/>
                <w:shd w:val="clear" w:color="auto" w:fill="FFFFFF"/>
                <w:lang w:val="en-GB"/>
              </w:rPr>
              <w:t>Review guidance to parents on the process</w:t>
            </w:r>
          </w:p>
          <w:p w:rsidR="0076153E" w:rsidP="001024BB" w:rsidRDefault="0076153E" w14:paraId="57B695F3" w14:textId="52FD3122">
            <w:pPr>
              <w:pStyle w:val="7Tablebodycopy"/>
              <w:rPr>
                <w:szCs w:val="20"/>
                <w:shd w:val="clear" w:color="auto" w:fill="FFFFFF"/>
                <w:lang w:val="en-GB"/>
              </w:rPr>
            </w:pPr>
            <w:r>
              <w:rPr>
                <w:szCs w:val="20"/>
                <w:shd w:val="clear" w:color="auto" w:fill="FFFFFF"/>
                <w:lang w:val="en-GB"/>
              </w:rPr>
              <w:t>Invite parents to give their views on the process</w:t>
            </w:r>
          </w:p>
          <w:p w:rsidR="0076153E" w:rsidP="001024BB" w:rsidRDefault="0076153E" w14:paraId="5652D1D9" w14:textId="5CFFF6D5">
            <w:pPr>
              <w:pStyle w:val="7Tablebodycopy"/>
              <w:rPr>
                <w:szCs w:val="20"/>
                <w:shd w:val="clear" w:color="auto" w:fill="FFFFFF"/>
                <w:lang w:val="en-GB"/>
              </w:rPr>
            </w:pPr>
            <w:r>
              <w:rPr>
                <w:szCs w:val="20"/>
                <w:shd w:val="clear" w:color="auto" w:fill="FFFFFF"/>
                <w:lang w:val="en-GB"/>
              </w:rPr>
              <w:t>Invite a sample of pupils to give their views and experiences</w:t>
            </w:r>
          </w:p>
          <w:p w:rsidR="007B24BA" w:rsidP="001024BB" w:rsidRDefault="007B24BA" w14:paraId="0A57BB3E" w14:textId="77777777">
            <w:pPr>
              <w:pStyle w:val="7Tablebodycopy"/>
              <w:rPr>
                <w:szCs w:val="20"/>
                <w:shd w:val="clear" w:color="auto" w:fill="FFFFFF"/>
                <w:lang w:val="en-GB"/>
              </w:rPr>
            </w:pPr>
            <w:r>
              <w:rPr>
                <w:szCs w:val="20"/>
                <w:shd w:val="clear" w:color="auto" w:fill="FFFFFF"/>
                <w:lang w:val="en-GB"/>
              </w:rPr>
              <w:t>Review IEP processes and its effectiveness</w:t>
            </w:r>
          </w:p>
          <w:p w:rsidR="007B24BA" w:rsidP="001024BB" w:rsidRDefault="007B24BA" w14:paraId="691C34BD" w14:textId="77777777">
            <w:pPr>
              <w:pStyle w:val="7Tablebodycopy"/>
              <w:rPr>
                <w:szCs w:val="20"/>
                <w:shd w:val="clear" w:color="auto" w:fill="FFFFFF"/>
                <w:lang w:val="en-GB"/>
              </w:rPr>
            </w:pPr>
            <w:r>
              <w:rPr>
                <w:szCs w:val="20"/>
                <w:shd w:val="clear" w:color="auto" w:fill="FFFFFF"/>
                <w:lang w:val="en-GB"/>
              </w:rPr>
              <w:t>Conduct some sample lesson observations</w:t>
            </w:r>
          </w:p>
          <w:p w:rsidR="0076153E" w:rsidP="001024BB" w:rsidRDefault="007B24BA" w14:paraId="2BDE76F5" w14:textId="77777777">
            <w:pPr>
              <w:pStyle w:val="7Tablebodycopy"/>
              <w:rPr>
                <w:szCs w:val="20"/>
                <w:shd w:val="clear" w:color="auto" w:fill="FFFFFF"/>
                <w:lang w:val="en-GB"/>
              </w:rPr>
            </w:pPr>
            <w:r>
              <w:rPr>
                <w:szCs w:val="20"/>
                <w:shd w:val="clear" w:color="auto" w:fill="FFFFFF"/>
                <w:lang w:val="en-GB"/>
              </w:rPr>
              <w:t xml:space="preserve">Track a couple of children at </w:t>
            </w:r>
            <w:r w:rsidR="0076153E">
              <w:rPr>
                <w:szCs w:val="20"/>
                <w:shd w:val="clear" w:color="auto" w:fill="FFFFFF"/>
                <w:lang w:val="en-GB"/>
              </w:rPr>
              <w:t>different stages of the process</w:t>
            </w:r>
          </w:p>
          <w:p w:rsidR="0076153E" w:rsidP="001024BB" w:rsidRDefault="0076153E" w14:paraId="7FA58F42" w14:textId="4DF5784E">
            <w:pPr>
              <w:pStyle w:val="7Tablebodycopy"/>
              <w:rPr>
                <w:szCs w:val="20"/>
                <w:shd w:val="clear" w:color="auto" w:fill="FFFFFF"/>
                <w:lang w:val="en-GB"/>
              </w:rPr>
            </w:pPr>
            <w:r>
              <w:rPr>
                <w:szCs w:val="20"/>
                <w:shd w:val="clear" w:color="auto" w:fill="FFFFFF"/>
                <w:lang w:val="en-GB"/>
              </w:rPr>
              <w:t>Review assessment data and books</w:t>
            </w:r>
          </w:p>
        </w:tc>
        <w:tc>
          <w:tcPr>
            <w:tcW w:w="1951" w:type="dxa"/>
          </w:tcPr>
          <w:p w:rsidR="007B24BA" w:rsidP="001024BB" w:rsidRDefault="007B24BA" w14:paraId="0D75CA5F" w14:textId="77777777">
            <w:pPr>
              <w:rPr>
                <w:sz w:val="20"/>
                <w:szCs w:val="20"/>
              </w:rPr>
            </w:pPr>
          </w:p>
        </w:tc>
        <w:tc>
          <w:tcPr>
            <w:tcW w:w="1630" w:type="dxa"/>
          </w:tcPr>
          <w:p w:rsidR="007B24BA" w:rsidP="001024BB" w:rsidRDefault="007B24BA" w14:paraId="7AE1477F" w14:textId="77777777"/>
        </w:tc>
        <w:tc>
          <w:tcPr>
            <w:tcW w:w="4739" w:type="dxa"/>
          </w:tcPr>
          <w:p w:rsidR="007B24BA" w:rsidP="001024BB" w:rsidRDefault="007B24BA" w14:paraId="2F80BAB0" w14:textId="792EC5E9">
            <w:pPr>
              <w:rPr>
                <w:rFonts w:eastAsia="MS Mincho" w:cs="Times New Roman"/>
                <w:sz w:val="20"/>
                <w:szCs w:val="20"/>
                <w:shd w:val="clear" w:color="auto" w:fill="FFFFFF"/>
              </w:rPr>
            </w:pPr>
          </w:p>
        </w:tc>
      </w:tr>
    </w:tbl>
    <w:p w:rsidRPr="003D23C1" w:rsidR="003D23C1" w:rsidP="003D23C1" w:rsidRDefault="003D23C1" w14:paraId="1EDC45FA" w14:textId="77777777">
      <w:pPr>
        <w:rPr>
          <w:b/>
        </w:rPr>
      </w:pPr>
    </w:p>
    <w:p w:rsidRPr="003D23C1" w:rsidR="003D23C1" w:rsidP="003D23C1" w:rsidRDefault="003D23C1" w14:paraId="2D900FE1" w14:textId="77777777">
      <w:pPr>
        <w:pStyle w:val="ListParagraph"/>
        <w:ind w:left="1440"/>
        <w:rPr>
          <w:b/>
        </w:rPr>
      </w:pPr>
    </w:p>
    <w:sectPr w:rsidRPr="003D23C1" w:rsidR="003D23C1" w:rsidSect="00D30718">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9BE" w:rsidP="00275F1C" w:rsidRDefault="001649BE" w14:paraId="29ADF915" w14:textId="77777777">
      <w:pPr>
        <w:spacing w:after="0" w:line="240" w:lineRule="auto"/>
      </w:pPr>
      <w:r>
        <w:separator/>
      </w:r>
    </w:p>
  </w:endnote>
  <w:endnote w:type="continuationSeparator" w:id="0">
    <w:p w:rsidR="001649BE" w:rsidP="00275F1C" w:rsidRDefault="001649BE" w14:paraId="40A357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Deca">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5F1C" w:rsidRDefault="00275F1C" w14:paraId="65586D66" w14:textId="223AFCDE">
    <w:pPr>
      <w:pStyle w:val="Footer"/>
    </w:pPr>
    <w:r>
      <w:rPr>
        <w:rFonts w:cs="Arial"/>
        <w:noProof/>
        <w:lang w:eastAsia="en-GB"/>
      </w:rPr>
      <w:drawing>
        <wp:anchor distT="0" distB="0" distL="114300" distR="114300" simplePos="0" relativeHeight="251656704" behindDoc="1" locked="0" layoutInCell="1" allowOverlap="1" wp14:anchorId="2C91346A" wp14:editId="2261C524">
          <wp:simplePos x="0" y="0"/>
          <wp:positionH relativeFrom="margin">
            <wp:posOffset>1863725</wp:posOffset>
          </wp:positionH>
          <wp:positionV relativeFrom="paragraph">
            <wp:posOffset>-374650</wp:posOffset>
          </wp:positionV>
          <wp:extent cx="1033780" cy="842010"/>
          <wp:effectExtent l="0" t="0" r="0" b="0"/>
          <wp:wrapTight wrapText="bothSides">
            <wp:wrapPolygon edited="0">
              <wp:start x="12843" y="13292"/>
              <wp:lineTo x="12445" y="586"/>
              <wp:lineTo x="504" y="586"/>
              <wp:lineTo x="504" y="13292"/>
              <wp:lineTo x="12843" y="13292"/>
            </wp:wrapPolygon>
          </wp:wrapTight>
          <wp:docPr id="2" name="Picture 2" descr="cid:image001.jpg@01D83D44.F14A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3D44.F14A04A0"/>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t="-77499" r="-77500" b="-3333"/>
                  <a:stretch/>
                </pic:blipFill>
                <pic:spPr bwMode="auto">
                  <a:xfrm rot="10800000" flipV="1">
                    <a:off x="0" y="0"/>
                    <a:ext cx="1033780" cy="842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sz w:val="22"/>
        <w:lang w:eastAsia="en-GB"/>
      </w:rPr>
      <w:drawing>
        <wp:inline distT="0" distB="0" distL="0" distR="0" wp14:anchorId="3B299026" wp14:editId="448BD919">
          <wp:extent cx="2117300" cy="469900"/>
          <wp:effectExtent l="0" t="0" r="0" b="6350"/>
          <wp:docPr id="3" name="Picture 3" descr="SELA-School Improvement Advisory Team for screen use (low res) 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A-School Improvement Advisory Team for screen use (low res) 72ppi"/>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55461" cy="478369"/>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9BE" w:rsidP="00275F1C" w:rsidRDefault="001649BE" w14:paraId="557C7D01" w14:textId="77777777">
      <w:pPr>
        <w:spacing w:after="0" w:line="240" w:lineRule="auto"/>
      </w:pPr>
      <w:r>
        <w:separator/>
      </w:r>
    </w:p>
  </w:footnote>
  <w:footnote w:type="continuationSeparator" w:id="0">
    <w:p w:rsidR="001649BE" w:rsidP="00275F1C" w:rsidRDefault="001649BE" w14:paraId="2A5879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5F1C" w:rsidRDefault="00275F1C" w14:paraId="0A37AC5C" w14:textId="7189887F">
    <w:pPr>
      <w:pStyle w:val="Header"/>
    </w:pPr>
    <w:r>
      <w:rPr>
        <w:noProof/>
        <w:lang w:eastAsia="en-GB"/>
      </w:rPr>
      <w:drawing>
        <wp:anchor distT="0" distB="0" distL="114300" distR="114300" simplePos="0" relativeHeight="251657728" behindDoc="1" locked="0" layoutInCell="1" allowOverlap="1" wp14:anchorId="463FDA89" wp14:editId="1B4E3E6E">
          <wp:simplePos x="0" y="0"/>
          <wp:positionH relativeFrom="column">
            <wp:posOffset>-569742</wp:posOffset>
          </wp:positionH>
          <wp:positionV relativeFrom="paragraph">
            <wp:posOffset>-324143</wp:posOffset>
          </wp:positionV>
          <wp:extent cx="1695450" cy="669925"/>
          <wp:effectExtent l="0" t="0" r="0" b="0"/>
          <wp:wrapTight wrapText="bothSides">
            <wp:wrapPolygon edited="0">
              <wp:start x="18445" y="0"/>
              <wp:lineTo x="6553" y="4300"/>
              <wp:lineTo x="2427" y="6756"/>
              <wp:lineTo x="2427" y="9827"/>
              <wp:lineTo x="0" y="15355"/>
              <wp:lineTo x="0" y="20883"/>
              <wp:lineTo x="20144" y="20883"/>
              <wp:lineTo x="21115" y="20883"/>
              <wp:lineTo x="21357" y="19655"/>
              <wp:lineTo x="21357" y="614"/>
              <wp:lineTo x="19901" y="0"/>
              <wp:lineTo x="1844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669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pt;height:332.5pt" o:bullet="t" type="#_x0000_t75">
        <v:imagedata o:title="TK_LOGO_POINTER_RGB_bullet_blue" r:id="rId1"/>
      </v:shape>
    </w:pict>
  </w:numPicBullet>
  <w:numPicBullet w:numPicBulletId="1">
    <w:pict>
      <v:shape id="_x0000_i1027" style="width:209pt;height:332.5pt" o:bullet="t" type="#_x0000_t75">
        <v:imagedata o:title="art1EF6" r:id="rId2"/>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CF5153"/>
    <w:multiLevelType w:val="hybridMultilevel"/>
    <w:tmpl w:val="48CAE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645263"/>
    <w:multiLevelType w:val="hybridMultilevel"/>
    <w:tmpl w:val="54B89F42"/>
    <w:lvl w:ilvl="0" w:tplc="4D9E0B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81A"/>
    <w:multiLevelType w:val="hybridMultilevel"/>
    <w:tmpl w:val="1BBC800C"/>
    <w:lvl w:ilvl="0" w:tplc="7ECA7F4C">
      <w:start w:val="1"/>
      <w:numFmt w:val="bullet"/>
      <w:pStyle w:val="3Bulletedcopypink"/>
      <w:lvlText w:val=""/>
      <w:lvlPicBulletId w:val="1"/>
      <w:lvlJc w:val="left"/>
      <w:pPr>
        <w:ind w:left="53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FF6E73"/>
    <w:multiLevelType w:val="hybridMultilevel"/>
    <w:tmpl w:val="E1F4E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A3EF6"/>
    <w:multiLevelType w:val="hybridMultilevel"/>
    <w:tmpl w:val="6CF46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1C0BC3"/>
    <w:multiLevelType w:val="hybridMultilevel"/>
    <w:tmpl w:val="E1365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832B8"/>
    <w:multiLevelType w:val="hybridMultilevel"/>
    <w:tmpl w:val="11707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442D88"/>
    <w:multiLevelType w:val="hybridMultilevel"/>
    <w:tmpl w:val="D9289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7A0270"/>
    <w:multiLevelType w:val="hybridMultilevel"/>
    <w:tmpl w:val="452E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7123CE"/>
    <w:multiLevelType w:val="hybridMultilevel"/>
    <w:tmpl w:val="0B065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F85B46"/>
    <w:multiLevelType w:val="hybridMultilevel"/>
    <w:tmpl w:val="C352C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4D7477"/>
    <w:multiLevelType w:val="hybridMultilevel"/>
    <w:tmpl w:val="AFF264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EF95988"/>
    <w:multiLevelType w:val="hybridMultilevel"/>
    <w:tmpl w:val="D3921722"/>
    <w:lvl w:ilvl="0" w:tplc="08090001">
      <w:start w:val="1"/>
      <w:numFmt w:val="bullet"/>
      <w:lvlText w:val=""/>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266033781">
    <w:abstractNumId w:val="14"/>
  </w:num>
  <w:num w:numId="2" w16cid:durableId="307131104">
    <w:abstractNumId w:val="0"/>
  </w:num>
  <w:num w:numId="3" w16cid:durableId="406613049">
    <w:abstractNumId w:val="2"/>
  </w:num>
  <w:num w:numId="4" w16cid:durableId="399445203">
    <w:abstractNumId w:val="8"/>
  </w:num>
  <w:num w:numId="5" w16cid:durableId="313026834">
    <w:abstractNumId w:val="3"/>
  </w:num>
  <w:num w:numId="6" w16cid:durableId="828249313">
    <w:abstractNumId w:val="1"/>
  </w:num>
  <w:num w:numId="7" w16cid:durableId="821770972">
    <w:abstractNumId w:val="10"/>
  </w:num>
  <w:num w:numId="8" w16cid:durableId="1719433869">
    <w:abstractNumId w:val="9"/>
  </w:num>
  <w:num w:numId="9" w16cid:durableId="114761079">
    <w:abstractNumId w:val="11"/>
  </w:num>
  <w:num w:numId="10" w16cid:durableId="933897971">
    <w:abstractNumId w:val="4"/>
  </w:num>
  <w:num w:numId="11" w16cid:durableId="8214535">
    <w:abstractNumId w:val="13"/>
  </w:num>
  <w:num w:numId="12" w16cid:durableId="1159686303">
    <w:abstractNumId w:val="6"/>
  </w:num>
  <w:num w:numId="13" w16cid:durableId="1539583071">
    <w:abstractNumId w:val="7"/>
  </w:num>
  <w:num w:numId="14" w16cid:durableId="1695837108">
    <w:abstractNumId w:val="12"/>
  </w:num>
  <w:num w:numId="15" w16cid:durableId="7864616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18"/>
    <w:rsid w:val="000318FA"/>
    <w:rsid w:val="00035C40"/>
    <w:rsid w:val="00107119"/>
    <w:rsid w:val="0013768C"/>
    <w:rsid w:val="001649BE"/>
    <w:rsid w:val="00171AA1"/>
    <w:rsid w:val="00232DB6"/>
    <w:rsid w:val="00247314"/>
    <w:rsid w:val="00254FE4"/>
    <w:rsid w:val="00275F1C"/>
    <w:rsid w:val="002C4D41"/>
    <w:rsid w:val="002C704F"/>
    <w:rsid w:val="002D3A9F"/>
    <w:rsid w:val="00337EA5"/>
    <w:rsid w:val="00347774"/>
    <w:rsid w:val="00383522"/>
    <w:rsid w:val="003D23C1"/>
    <w:rsid w:val="004709F7"/>
    <w:rsid w:val="004A2F02"/>
    <w:rsid w:val="0055557C"/>
    <w:rsid w:val="00567097"/>
    <w:rsid w:val="005A7E0C"/>
    <w:rsid w:val="005F5D77"/>
    <w:rsid w:val="00615E7E"/>
    <w:rsid w:val="00672710"/>
    <w:rsid w:val="00682D6C"/>
    <w:rsid w:val="006D1EA7"/>
    <w:rsid w:val="00733B75"/>
    <w:rsid w:val="0076153E"/>
    <w:rsid w:val="0078024C"/>
    <w:rsid w:val="00785789"/>
    <w:rsid w:val="007B24BA"/>
    <w:rsid w:val="007F4C65"/>
    <w:rsid w:val="00805775"/>
    <w:rsid w:val="00815073"/>
    <w:rsid w:val="00841E08"/>
    <w:rsid w:val="008B31FE"/>
    <w:rsid w:val="008D2D92"/>
    <w:rsid w:val="00941249"/>
    <w:rsid w:val="0094148B"/>
    <w:rsid w:val="00942192"/>
    <w:rsid w:val="00947C01"/>
    <w:rsid w:val="009732ED"/>
    <w:rsid w:val="00975826"/>
    <w:rsid w:val="00976E82"/>
    <w:rsid w:val="009A5F57"/>
    <w:rsid w:val="009C63B4"/>
    <w:rsid w:val="00B2124D"/>
    <w:rsid w:val="00B4058B"/>
    <w:rsid w:val="00BD0443"/>
    <w:rsid w:val="00BD709F"/>
    <w:rsid w:val="00C21792"/>
    <w:rsid w:val="00C21A37"/>
    <w:rsid w:val="00CA7F93"/>
    <w:rsid w:val="00CC030D"/>
    <w:rsid w:val="00D2157C"/>
    <w:rsid w:val="00D256F7"/>
    <w:rsid w:val="00D27B3D"/>
    <w:rsid w:val="00D30718"/>
    <w:rsid w:val="00D72D58"/>
    <w:rsid w:val="00D7421F"/>
    <w:rsid w:val="00EB77AD"/>
    <w:rsid w:val="00EE03B4"/>
    <w:rsid w:val="00F461FB"/>
    <w:rsid w:val="00FB4F96"/>
    <w:rsid w:val="08145316"/>
    <w:rsid w:val="08498C6D"/>
    <w:rsid w:val="095A8123"/>
    <w:rsid w:val="0B6733BF"/>
    <w:rsid w:val="0BDC1FCC"/>
    <w:rsid w:val="0D030420"/>
    <w:rsid w:val="0F0A339A"/>
    <w:rsid w:val="11FC8F6F"/>
    <w:rsid w:val="15B984B6"/>
    <w:rsid w:val="18486A60"/>
    <w:rsid w:val="18998583"/>
    <w:rsid w:val="1CED9A12"/>
    <w:rsid w:val="25C35E93"/>
    <w:rsid w:val="295B8FBB"/>
    <w:rsid w:val="2B8A88E3"/>
    <w:rsid w:val="2C5AA354"/>
    <w:rsid w:val="2E903FED"/>
    <w:rsid w:val="2FEE676C"/>
    <w:rsid w:val="3260D424"/>
    <w:rsid w:val="330D64F0"/>
    <w:rsid w:val="34641364"/>
    <w:rsid w:val="35D6540D"/>
    <w:rsid w:val="373250D2"/>
    <w:rsid w:val="3F5FA717"/>
    <w:rsid w:val="4549F49B"/>
    <w:rsid w:val="46CC284E"/>
    <w:rsid w:val="488D3157"/>
    <w:rsid w:val="4C9519FE"/>
    <w:rsid w:val="4D9E9096"/>
    <w:rsid w:val="594112F5"/>
    <w:rsid w:val="5B336DB6"/>
    <w:rsid w:val="5D1B1486"/>
    <w:rsid w:val="5E44830D"/>
    <w:rsid w:val="5F2109F3"/>
    <w:rsid w:val="5F5C538C"/>
    <w:rsid w:val="69DA50F7"/>
    <w:rsid w:val="6E54B85A"/>
    <w:rsid w:val="6F36CA70"/>
    <w:rsid w:val="70C67D0E"/>
    <w:rsid w:val="728C0CAC"/>
    <w:rsid w:val="77E31833"/>
    <w:rsid w:val="77EECF90"/>
    <w:rsid w:val="79B6ACD7"/>
    <w:rsid w:val="7D60582A"/>
    <w:rsid w:val="7F462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2939EC"/>
  <w15:chartTrackingRefBased/>
  <w15:docId w15:val="{15A289C4-D945-4868-B664-1F39FC0D1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30718"/>
    <w:pPr>
      <w:autoSpaceDE w:val="0"/>
      <w:autoSpaceDN w:val="0"/>
      <w:adjustRightInd w:val="0"/>
      <w:spacing w:after="0" w:line="240" w:lineRule="auto"/>
    </w:pPr>
    <w:rPr>
      <w:rFonts w:ascii="Lexend Deca" w:hAnsi="Lexend Deca" w:cs="Lexend Deca"/>
      <w:color w:val="000000"/>
      <w:szCs w:val="24"/>
    </w:rPr>
  </w:style>
  <w:style w:type="character" w:styleId="Hyperlink">
    <w:name w:val="Hyperlink"/>
    <w:uiPriority w:val="99"/>
    <w:unhideWhenUsed/>
    <w:qFormat/>
    <w:rsid w:val="00D30718"/>
    <w:rPr>
      <w:color w:val="0072CC"/>
      <w:u w:val="single"/>
    </w:rPr>
  </w:style>
  <w:style w:type="paragraph" w:styleId="3Bulletedcopyblue" w:customStyle="1">
    <w:name w:val="3 Bulleted copy blue"/>
    <w:basedOn w:val="Normal"/>
    <w:qFormat/>
    <w:rsid w:val="00D30718"/>
    <w:pPr>
      <w:spacing w:after="120" w:line="240" w:lineRule="auto"/>
    </w:pPr>
    <w:rPr>
      <w:rFonts w:eastAsia="MS Mincho" w:cs="Arial"/>
      <w:sz w:val="20"/>
      <w:szCs w:val="20"/>
      <w:lang w:val="en-US"/>
    </w:rPr>
  </w:style>
  <w:style w:type="paragraph" w:styleId="1bodycopy" w:customStyle="1">
    <w:name w:val="1 body copy"/>
    <w:basedOn w:val="Normal"/>
    <w:link w:val="1bodycopyChar"/>
    <w:qFormat/>
    <w:rsid w:val="00D30718"/>
    <w:pPr>
      <w:spacing w:after="120" w:line="240" w:lineRule="auto"/>
    </w:pPr>
    <w:rPr>
      <w:rFonts w:eastAsia="MS Mincho" w:cs="Times New Roman"/>
      <w:sz w:val="20"/>
      <w:szCs w:val="24"/>
      <w:lang w:val="en-US"/>
    </w:rPr>
  </w:style>
  <w:style w:type="character" w:styleId="1bodycopyChar" w:customStyle="1">
    <w:name w:val="1 body copy Char"/>
    <w:link w:val="1bodycopy"/>
    <w:rsid w:val="00D30718"/>
    <w:rPr>
      <w:rFonts w:eastAsia="MS Mincho" w:cs="Times New Roman"/>
      <w:sz w:val="20"/>
      <w:szCs w:val="24"/>
      <w:lang w:val="en-US"/>
    </w:rPr>
  </w:style>
  <w:style w:type="table" w:styleId="TableGrid">
    <w:name w:val="Table Grid"/>
    <w:basedOn w:val="TableNormal"/>
    <w:uiPriority w:val="39"/>
    <w:rsid w:val="005A7E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Tablebodycopy" w:customStyle="1">
    <w:name w:val="7 Table body copy"/>
    <w:basedOn w:val="Normal"/>
    <w:qFormat/>
    <w:rsid w:val="00D72D58"/>
    <w:pPr>
      <w:spacing w:after="60" w:line="240" w:lineRule="auto"/>
    </w:pPr>
    <w:rPr>
      <w:rFonts w:eastAsia="MS Mincho" w:cs="Times New Roman"/>
      <w:sz w:val="20"/>
      <w:szCs w:val="24"/>
      <w:lang w:val="en-US"/>
    </w:rPr>
  </w:style>
  <w:style w:type="paragraph" w:styleId="7Tablecopybulleted" w:customStyle="1">
    <w:name w:val="7 Table copy bulleted"/>
    <w:basedOn w:val="7Tablebodycopy"/>
    <w:qFormat/>
    <w:rsid w:val="00D72D58"/>
    <w:pPr>
      <w:numPr>
        <w:numId w:val="2"/>
      </w:numPr>
    </w:pPr>
  </w:style>
  <w:style w:type="paragraph" w:styleId="ListParagraph">
    <w:name w:val="List Paragraph"/>
    <w:basedOn w:val="Normal"/>
    <w:uiPriority w:val="34"/>
    <w:qFormat/>
    <w:rsid w:val="00815073"/>
    <w:pPr>
      <w:widowControl w:val="0"/>
      <w:overflowPunct w:val="0"/>
      <w:autoSpaceDE w:val="0"/>
      <w:autoSpaceDN w:val="0"/>
      <w:adjustRightInd w:val="0"/>
      <w:spacing w:after="0" w:line="240" w:lineRule="auto"/>
      <w:ind w:left="720"/>
      <w:contextualSpacing/>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34777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7774"/>
    <w:rPr>
      <w:rFonts w:ascii="Segoe UI" w:hAnsi="Segoe UI" w:cs="Segoe UI"/>
      <w:sz w:val="18"/>
      <w:szCs w:val="18"/>
    </w:rPr>
  </w:style>
  <w:style w:type="paragraph" w:styleId="3Bulletedcopypink" w:customStyle="1">
    <w:name w:val="3 Bulleted copy pink &gt;"/>
    <w:basedOn w:val="Normal"/>
    <w:qFormat/>
    <w:rsid w:val="00347774"/>
    <w:pPr>
      <w:numPr>
        <w:numId w:val="5"/>
      </w:numPr>
      <w:spacing w:after="120" w:line="240" w:lineRule="auto"/>
      <w:ind w:left="527" w:hanging="357"/>
    </w:pPr>
    <w:rPr>
      <w:rFonts w:eastAsia="MS Mincho" w:cs="Arial"/>
      <w:sz w:val="20"/>
      <w:szCs w:val="20"/>
      <w:lang w:val="en-US"/>
    </w:rPr>
  </w:style>
  <w:style w:type="paragraph" w:styleId="7TableHeading" w:customStyle="1">
    <w:name w:val="7 Table Heading"/>
    <w:basedOn w:val="Normal"/>
    <w:link w:val="7TableHeadingChar"/>
    <w:qFormat/>
    <w:rsid w:val="007F4C65"/>
    <w:pPr>
      <w:spacing w:after="0" w:line="240" w:lineRule="auto"/>
    </w:pPr>
    <w:rPr>
      <w:rFonts w:eastAsia="MS Mincho" w:cs="Arial"/>
      <w:color w:val="FFFFFF"/>
      <w:sz w:val="20"/>
      <w:szCs w:val="20"/>
      <w:lang w:val="en-US"/>
    </w:rPr>
  </w:style>
  <w:style w:type="character" w:styleId="7TableHeadingChar" w:customStyle="1">
    <w:name w:val="7 Table Heading Char"/>
    <w:link w:val="7TableHeading"/>
    <w:rsid w:val="007F4C65"/>
    <w:rPr>
      <w:rFonts w:eastAsia="MS Mincho" w:cs="Arial"/>
      <w:color w:val="FFFFFF"/>
      <w:sz w:val="20"/>
      <w:szCs w:val="20"/>
      <w:lang w:val="en-US"/>
    </w:rPr>
  </w:style>
  <w:style w:type="paragraph" w:styleId="7Tablebodybulleted" w:customStyle="1">
    <w:name w:val="7 Table body bulleted"/>
    <w:basedOn w:val="1bodycopy"/>
    <w:qFormat/>
    <w:rsid w:val="00D27B3D"/>
    <w:pPr>
      <w:numPr>
        <w:numId w:val="7"/>
      </w:numPr>
      <w:tabs>
        <w:tab w:val="num" w:pos="360"/>
      </w:tabs>
      <w:ind w:left="0" w:right="284" w:firstLine="0"/>
    </w:pPr>
  </w:style>
  <w:style w:type="paragraph" w:styleId="Header">
    <w:name w:val="header"/>
    <w:basedOn w:val="Normal"/>
    <w:link w:val="HeaderChar"/>
    <w:uiPriority w:val="99"/>
    <w:unhideWhenUsed/>
    <w:rsid w:val="00275F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5F1C"/>
  </w:style>
  <w:style w:type="paragraph" w:styleId="Footer">
    <w:name w:val="footer"/>
    <w:basedOn w:val="Normal"/>
    <w:link w:val="FooterChar"/>
    <w:uiPriority w:val="99"/>
    <w:unhideWhenUsed/>
    <w:rsid w:val="00275F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5F1C"/>
  </w:style>
  <w:style w:type="paragraph" w:styleId="NoSpacing">
    <w:name w:val="No Spacing"/>
    <w:uiPriority w:val="1"/>
    <w:qFormat/>
    <w:rsid w:val="00942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sen.org.uk/page/continuing-professional-development-and-learning-cpd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ducationendowmentfoundation.org.uk/education-evidence/guidance-reports/teaching-assist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egislation.gov.uk/ukpga/2014/6/section/69"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public/files/Publications/Behaviour/EEF_Improving_behaviour_in_schools_Report.pdf" TargetMode="External" Id="rId11" /><Relationship Type="http://schemas.openxmlformats.org/officeDocument/2006/relationships/styles" Target="styles.xml" Id="rId5" /><Relationship Type="http://schemas.openxmlformats.org/officeDocument/2006/relationships/hyperlink" Target="https://www.gov.uk/government/publications/send-code-of-practice-0-to-25" TargetMode="External" Id="rId15" /><Relationship Type="http://schemas.openxmlformats.org/officeDocument/2006/relationships/hyperlink" Target="https://www.gov.uk/government/publications/send-code-of-practice-0-to-25"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si/2014/1530/contents/made"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cid:image001.jpg@01D83D44.F14A04A0" TargetMode="External"/><Relationship Id="rId1" Type="http://schemas.openxmlformats.org/officeDocument/2006/relationships/image" Target="media/image4.jpeg"/><Relationship Id="rId4" Type="http://schemas.openxmlformats.org/officeDocument/2006/relationships/image" Target="cid:image001.jpg@01D8441B.616452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2CE01214B4C48B57DACED8B84DB72" ma:contentTypeVersion="15" ma:contentTypeDescription="Create a new document." ma:contentTypeScope="" ma:versionID="a9b464891e404a5576ee7d3d739ed92d">
  <xsd:schema xmlns:xsd="http://www.w3.org/2001/XMLSchema" xmlns:xs="http://www.w3.org/2001/XMLSchema" xmlns:p="http://schemas.microsoft.com/office/2006/metadata/properties" xmlns:ns2="f126b8fc-cf47-4fe1-9da1-3c7abb781a6e" xmlns:ns3="0a0921c6-9014-42cd-85c2-9ce61efbe378" targetNamespace="http://schemas.microsoft.com/office/2006/metadata/properties" ma:root="true" ma:fieldsID="0737062de971c5f9b1a04e0e03c1e251" ns2:_="" ns3:_="">
    <xsd:import namespace="f126b8fc-cf47-4fe1-9da1-3c7abb781a6e"/>
    <xsd:import namespace="0a0921c6-9014-42cd-85c2-9ce61efbe3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6b8fc-cf47-4fe1-9da1-3c7abb781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921c6-9014-42cd-85c2-9ce61efbe3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3e4f3f-8613-4298-b994-75a898fc14c8}" ma:internalName="TaxCatchAll" ma:showField="CatchAllData" ma:web="0a0921c6-9014-42cd-85c2-9ce61efbe3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26b8fc-cf47-4fe1-9da1-3c7abb781a6e">
      <Terms xmlns="http://schemas.microsoft.com/office/infopath/2007/PartnerControls"/>
    </lcf76f155ced4ddcb4097134ff3c332f>
    <TaxCatchAll xmlns="0a0921c6-9014-42cd-85c2-9ce61efbe378" xsi:nil="true"/>
  </documentManagement>
</p:properties>
</file>

<file path=customXml/itemProps1.xml><?xml version="1.0" encoding="utf-8"?>
<ds:datastoreItem xmlns:ds="http://schemas.openxmlformats.org/officeDocument/2006/customXml" ds:itemID="{9894BFE6-CACC-4207-8144-F67B8252F30F}">
  <ds:schemaRefs>
    <ds:schemaRef ds:uri="http://schemas.microsoft.com/sharepoint/v3/contenttype/forms"/>
  </ds:schemaRefs>
</ds:datastoreItem>
</file>

<file path=customXml/itemProps2.xml><?xml version="1.0" encoding="utf-8"?>
<ds:datastoreItem xmlns:ds="http://schemas.openxmlformats.org/officeDocument/2006/customXml" ds:itemID="{F2E69F37-CD52-4839-9DCC-53733468B902}"/>
</file>

<file path=customXml/itemProps3.xml><?xml version="1.0" encoding="utf-8"?>
<ds:datastoreItem xmlns:ds="http://schemas.openxmlformats.org/officeDocument/2006/customXml" ds:itemID="{151D7F99-7E1F-465A-A75A-420DD7E34223}">
  <ds:schemaRefs>
    <ds:schemaRef ds:uri="http://schemas.microsoft.com/office/infopath/2007/PartnerControls"/>
    <ds:schemaRef ds:uri="http://purl.org/dc/dcmitype/"/>
    <ds:schemaRef ds:uri="http://schemas.microsoft.com/office/2006/metadata/properties"/>
    <ds:schemaRef ds:uri="http://purl.org/dc/elements/1.1/"/>
    <ds:schemaRef ds:uri="0a0921c6-9014-42cd-85c2-9ce61efbe378"/>
    <ds:schemaRef ds:uri="http://schemas.microsoft.com/office/2006/documentManagement/types"/>
    <ds:schemaRef ds:uri="http://schemas.openxmlformats.org/package/2006/metadata/core-properties"/>
    <ds:schemaRef ds:uri="http://purl.org/dc/terms/"/>
    <ds:schemaRef ds:uri="f126b8fc-cf47-4fe1-9da1-3c7abb781a6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London Borough of Southwark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 Sarah</dc:creator>
  <cp:keywords/>
  <dc:description/>
  <cp:lastModifiedBy>Zinga, Mabina</cp:lastModifiedBy>
  <cp:revision>12</cp:revision>
  <dcterms:created xsi:type="dcterms:W3CDTF">2023-09-21T12:03:00Z</dcterms:created>
  <dcterms:modified xsi:type="dcterms:W3CDTF">2025-08-11T13:19:39Z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0x010100A592CE01214B4C48B57DACED8B84DB72</vt:lpwstr>
  </property>
  <property fmtid="{D5CDD505-2E9C-101B-9397-08002B2CF9AE}" pid="3" name="MediaServiceImageTags">
    <vt:lpwstr/>
  </property>
</Properties>
</file>