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b w:val="0"/>
          <w:color w:val="auto"/>
          <w:sz w:val="24"/>
          <w:szCs w:val="22"/>
          <w:lang w:val="en-GB"/>
        </w:rPr>
        <w:id w:val="262816799"/>
        <w:docPartObj>
          <w:docPartGallery w:val="Cover Pages"/>
          <w:docPartUnique/>
        </w:docPartObj>
      </w:sdtPr>
      <w:sdtEndPr>
        <w:rPr>
          <w:lang w:val="en-US"/>
        </w:rPr>
      </w:sdtEndPr>
      <w:sdtContent>
        <w:p w14:paraId="17211241" w14:textId="4E6617DE" w:rsidR="006D4605" w:rsidRPr="00C52857" w:rsidRDefault="00653EFB" w:rsidP="00C04FC3">
          <w:pPr>
            <w:pStyle w:val="Heading1"/>
          </w:pPr>
          <w:r>
            <w:t>Health and safety monitoring checklist</w:t>
          </w:r>
        </w:p>
        <w:p w14:paraId="1FDABD03" w14:textId="49A7D3CB" w:rsidR="00C04FC3" w:rsidRDefault="00C04FC3" w:rsidP="00A254E3">
          <w:pPr>
            <w:pStyle w:val="MainText"/>
            <w:spacing w:before="80"/>
          </w:pPr>
          <w:bookmarkStart w:id="0" w:name="_Toc61618332"/>
          <w:r w:rsidRPr="00DE33AB">
            <w:t xml:space="preserve">The following checklist has been developed for </w:t>
          </w:r>
          <w:r w:rsidR="00A16D99">
            <w:t xml:space="preserve">governing </w:t>
          </w:r>
          <w:r w:rsidRPr="00DE33AB">
            <w:t xml:space="preserve">boards to monitor and identify areas </w:t>
          </w:r>
          <w:r w:rsidR="00F12BDC">
            <w:t>for</w:t>
          </w:r>
          <w:r w:rsidRPr="00DE33AB">
            <w:t xml:space="preserve"> improvement with regards to health and safety </w:t>
          </w:r>
          <w:r w:rsidR="00A254E3">
            <w:t>policy and practice</w:t>
          </w:r>
          <w:r w:rsidRPr="00DE33AB">
            <w:t xml:space="preserve">. </w:t>
          </w:r>
          <w:r w:rsidR="00A16D99" w:rsidRPr="00DE33AB">
            <w:t xml:space="preserve">The list is not exhaustive and </w:t>
          </w:r>
          <w:r w:rsidR="00A16D99">
            <w:t xml:space="preserve">may require </w:t>
          </w:r>
          <w:r w:rsidR="00A16D99" w:rsidRPr="00DE33AB">
            <w:t>amend</w:t>
          </w:r>
          <w:r w:rsidR="00A16D99">
            <w:t>ment</w:t>
          </w:r>
          <w:r w:rsidR="00A16D99" w:rsidRPr="00DE33AB">
            <w:t xml:space="preserve"> to </w:t>
          </w:r>
          <w:r w:rsidR="00A16D99">
            <w:t>reflect you</w:t>
          </w:r>
          <w:r w:rsidR="005A66B1">
            <w:t>r</w:t>
          </w:r>
          <w:r w:rsidR="00A16D99">
            <w:t xml:space="preserve"> school</w:t>
          </w:r>
          <w:r w:rsidR="00A254E3">
            <w:t>’s</w:t>
          </w:r>
          <w:r w:rsidR="00A16D99">
            <w:t xml:space="preserve"> needs and priorities</w:t>
          </w:r>
          <w:r w:rsidR="00A16D99" w:rsidRPr="00DE33AB">
            <w:t>.</w:t>
          </w:r>
        </w:p>
        <w:p w14:paraId="639317AA" w14:textId="681F756A" w:rsidR="008F3075" w:rsidRDefault="006F6BD6" w:rsidP="0010341E">
          <w:pPr>
            <w:pStyle w:val="MainText"/>
            <w:spacing w:before="120" w:after="120"/>
          </w:pPr>
          <w:r>
            <w:t xml:space="preserve">This checklist is for </w:t>
          </w:r>
          <w:r w:rsidR="00F12BDC">
            <w:t xml:space="preserve">those </w:t>
          </w:r>
          <w:r w:rsidR="00D73AE9">
            <w:t xml:space="preserve">governing </w:t>
          </w:r>
          <w:r w:rsidR="0010341E">
            <w:t xml:space="preserve">in </w:t>
          </w:r>
          <w:r>
            <w:t>single schools, including</w:t>
          </w:r>
          <w:r w:rsidR="00D73AE9">
            <w:t>:</w:t>
          </w:r>
        </w:p>
        <w:p w14:paraId="25DF3624" w14:textId="7F21C621" w:rsidR="00D87363" w:rsidRPr="008F3075" w:rsidRDefault="00D0144B" w:rsidP="00D87363">
          <w:pPr>
            <w:pStyle w:val="Bullettext"/>
          </w:pPr>
          <w:r>
            <w:t>a</w:t>
          </w:r>
          <w:r w:rsidR="00D87363">
            <w:t>cadem</w:t>
          </w:r>
          <w:r>
            <w:t xml:space="preserve">y </w:t>
          </w:r>
          <w:r w:rsidR="00D87363">
            <w:t xml:space="preserve">committees (local governing bodies) </w:t>
          </w:r>
          <w:r>
            <w:t xml:space="preserve">within a multi academy trust </w:t>
          </w:r>
          <w:r w:rsidR="00D87363">
            <w:t>who have been</w:t>
          </w:r>
          <w:r w:rsidR="00CF51C7">
            <w:t xml:space="preserve"> </w:t>
          </w:r>
          <w:r w:rsidR="00D87363">
            <w:t xml:space="preserve">delegated </w:t>
          </w:r>
          <w:r w:rsidR="00A449C8">
            <w:t>health and safety</w:t>
          </w:r>
          <w:r w:rsidR="00D87363">
            <w:t xml:space="preserve"> oversight</w:t>
          </w:r>
          <w:r>
            <w:t xml:space="preserve"> </w:t>
          </w:r>
          <w:r w:rsidR="00CF51C7">
            <w:t xml:space="preserve">– delegation arrangements will be detailed in your trust’s </w:t>
          </w:r>
          <w:hyperlink r:id="rId10" w:history="1">
            <w:r w:rsidR="00A449C8" w:rsidRPr="0010341E">
              <w:rPr>
                <w:rStyle w:val="Hyperlink"/>
              </w:rPr>
              <w:t>scheme of delegation</w:t>
            </w:r>
          </w:hyperlink>
        </w:p>
        <w:p w14:paraId="2810C195" w14:textId="0CA5F439" w:rsidR="00D87363" w:rsidRDefault="0010341E" w:rsidP="00D87363">
          <w:pPr>
            <w:pStyle w:val="Bullettext"/>
          </w:pPr>
          <w:r>
            <w:t>s</w:t>
          </w:r>
          <w:r w:rsidR="00D87363">
            <w:t>ingle academy trusts</w:t>
          </w:r>
        </w:p>
        <w:p w14:paraId="30CF0105" w14:textId="3728F6E0" w:rsidR="008F3075" w:rsidRDefault="00F12BDC" w:rsidP="008F3075">
          <w:pPr>
            <w:pStyle w:val="Bullettext"/>
          </w:pPr>
          <w:r>
            <w:t xml:space="preserve">schools within a </w:t>
          </w:r>
          <w:r w:rsidR="0010341E">
            <w:t>f</w:t>
          </w:r>
          <w:r w:rsidR="008F3075">
            <w:t>ederation</w:t>
          </w:r>
        </w:p>
        <w:p w14:paraId="2591D184" w14:textId="00C0DF6C" w:rsidR="00C04FC3" w:rsidRDefault="00C04FC3" w:rsidP="00C04FC3">
          <w:pPr>
            <w:pStyle w:val="MainText"/>
          </w:pPr>
          <w:r w:rsidRPr="00DE33AB">
            <w:t xml:space="preserve">It is recommended that the checklist is completed </w:t>
          </w:r>
          <w:r w:rsidR="00C26004">
            <w:t xml:space="preserve">and reviewed on an </w:t>
          </w:r>
          <w:r w:rsidR="00EF06DF">
            <w:t>annual</w:t>
          </w:r>
          <w:r w:rsidR="00C26004">
            <w:t xml:space="preserve"> basis</w:t>
          </w:r>
          <w:r w:rsidR="00EF4140">
            <w:t xml:space="preserve"> </w:t>
          </w:r>
          <w:r w:rsidR="0010341E">
            <w:t>(usually at</w:t>
          </w:r>
          <w:r w:rsidR="002320A2">
            <w:t xml:space="preserve"> </w:t>
          </w:r>
          <w:r w:rsidR="00EF4140">
            <w:t>committee level</w:t>
          </w:r>
          <w:r w:rsidR="002320A2">
            <w:t>)</w:t>
          </w:r>
          <w:r w:rsidR="00EF4140">
            <w:t>. I</w:t>
          </w:r>
          <w:r w:rsidRPr="00DE33AB">
            <w:t xml:space="preserve">tems on the list may be used to inform </w:t>
          </w:r>
          <w:r w:rsidR="00EF4140">
            <w:t>discussion</w:t>
          </w:r>
          <w:r w:rsidR="00942E04">
            <w:t>s</w:t>
          </w:r>
          <w:r w:rsidR="00EF4140">
            <w:t xml:space="preserve"> </w:t>
          </w:r>
          <w:r w:rsidR="00196797">
            <w:t xml:space="preserve">with school leaders and the focus of </w:t>
          </w:r>
          <w:hyperlink r:id="rId11" w:history="1">
            <w:r w:rsidR="00196797" w:rsidRPr="00B107A9">
              <w:rPr>
                <w:rStyle w:val="Hyperlink"/>
              </w:rPr>
              <w:t xml:space="preserve">visits to </w:t>
            </w:r>
            <w:r w:rsidR="002320A2">
              <w:rPr>
                <w:rStyle w:val="Hyperlink"/>
              </w:rPr>
              <w:t xml:space="preserve">the </w:t>
            </w:r>
            <w:r w:rsidR="00196797" w:rsidRPr="00B107A9">
              <w:rPr>
                <w:rStyle w:val="Hyperlink"/>
              </w:rPr>
              <w:t>school</w:t>
            </w:r>
          </w:hyperlink>
          <w:r w:rsidR="00B15DF8">
            <w:t xml:space="preserve"> throughout the year.</w:t>
          </w:r>
        </w:p>
        <w:p w14:paraId="425BFFC0" w14:textId="77777777" w:rsidR="001B2BF8" w:rsidRDefault="001B2BF8" w:rsidP="00942E04">
          <w:pPr>
            <w:pStyle w:val="MainText"/>
            <w:spacing w:before="120" w:after="80"/>
          </w:pPr>
          <w:r>
            <w:t>This checklist draws on:</w:t>
          </w:r>
        </w:p>
        <w:p w14:paraId="5E6F3AA5" w14:textId="24B012EB" w:rsidR="001B2BF8" w:rsidRDefault="001B2BF8" w:rsidP="001B2BF8">
          <w:pPr>
            <w:pStyle w:val="Bullettext"/>
          </w:pPr>
          <w:r>
            <w:t>D</w:t>
          </w:r>
          <w:r w:rsidR="007D7C5A">
            <w:t xml:space="preserve">epartment for Education (DfE) </w:t>
          </w:r>
          <w:r>
            <w:t>guidance</w:t>
          </w:r>
          <w:r w:rsidR="007D7C5A">
            <w:t xml:space="preserve"> on </w:t>
          </w:r>
          <w:hyperlink r:id="rId12" w:history="1">
            <w:r w:rsidR="007D7C5A" w:rsidRPr="007D7C5A">
              <w:rPr>
                <w:rStyle w:val="Hyperlink"/>
              </w:rPr>
              <w:t>Health and safety: responsibilities and duties for schools</w:t>
            </w:r>
          </w:hyperlink>
        </w:p>
        <w:p w14:paraId="21C24614" w14:textId="77777777" w:rsidR="009E4392" w:rsidRDefault="00692584" w:rsidP="00BB0DC4">
          <w:pPr>
            <w:pStyle w:val="Bullettext"/>
            <w:spacing w:before="480"/>
          </w:pPr>
          <w:r>
            <w:t>Health and Safety Executive (HSE</w:t>
          </w:r>
          <w:r w:rsidR="0042218D">
            <w:t xml:space="preserve">) guidance on </w:t>
          </w:r>
          <w:hyperlink r:id="rId13" w:history="1">
            <w:r w:rsidR="0042218D" w:rsidRPr="00265E23">
              <w:rPr>
                <w:rStyle w:val="Hyperlink"/>
              </w:rPr>
              <w:t>Leading health and s</w:t>
            </w:r>
            <w:r w:rsidR="00265E23" w:rsidRPr="00265E23">
              <w:rPr>
                <w:rStyle w:val="Hyperlink"/>
              </w:rPr>
              <w:t>afety at work</w:t>
            </w:r>
          </w:hyperlink>
        </w:p>
        <w:p w14:paraId="586F0ABC" w14:textId="44F27471" w:rsidR="00401C68" w:rsidRPr="00401C68" w:rsidRDefault="00401C68" w:rsidP="00401C68">
          <w:pPr>
            <w:pStyle w:val="Bullettext"/>
            <w:spacing w:before="480"/>
          </w:pPr>
          <w:r>
            <w:t xml:space="preserve">Southwark Schools </w:t>
          </w:r>
          <w:r w:rsidRPr="00401C68">
            <w:rPr>
              <w:lang w:val="en-US"/>
            </w:rPr>
            <w:t xml:space="preserve">H&amp;S Information </w:t>
          </w:r>
          <w:r>
            <w:rPr>
              <w:lang w:val="en-US"/>
            </w:rPr>
            <w:t xml:space="preserve">Portal  -  </w:t>
          </w:r>
          <w:hyperlink r:id="rId14" w:history="1">
            <w:r w:rsidRPr="00401C68">
              <w:rPr>
                <w:rStyle w:val="Hyperlink"/>
                <w:lang w:val="en-US"/>
              </w:rPr>
              <w:t>Assure - Portal</w:t>
            </w:r>
          </w:hyperlink>
          <w:r>
            <w:t xml:space="preserve"> </w:t>
          </w:r>
        </w:p>
        <w:p w14:paraId="3470FCC4" w14:textId="77777777" w:rsidR="00401C68" w:rsidRPr="00401C68" w:rsidRDefault="00401C68" w:rsidP="00401C68">
          <w:pPr>
            <w:rPr>
              <w:lang w:val="en-GB"/>
            </w:rPr>
          </w:pPr>
        </w:p>
        <w:p w14:paraId="464CE1F7" w14:textId="77777777" w:rsidR="00401C68" w:rsidRPr="00401C68" w:rsidRDefault="00401C68" w:rsidP="00401C68">
          <w:pPr>
            <w:rPr>
              <w:lang w:val="en-GB"/>
            </w:rPr>
          </w:pPr>
        </w:p>
        <w:p w14:paraId="6D7A2AF4" w14:textId="77777777" w:rsidR="00401C68" w:rsidRDefault="00401C68" w:rsidP="00401C68">
          <w:pPr>
            <w:rPr>
              <w:lang w:val="en-GB"/>
            </w:rPr>
          </w:pPr>
        </w:p>
        <w:p w14:paraId="6A7E88F8" w14:textId="11C518C6" w:rsidR="00401C68" w:rsidRPr="00401C68" w:rsidRDefault="00401C68" w:rsidP="00401C68">
          <w:pPr>
            <w:rPr>
              <w:lang w:val="en-GB"/>
            </w:rPr>
            <w:sectPr w:rsidR="00401C68" w:rsidRPr="00401C68" w:rsidSect="00133334">
              <w:headerReference w:type="default" r:id="rId15"/>
              <w:footerReference w:type="default" r:id="rId16"/>
              <w:headerReference w:type="first" r:id="rId17"/>
              <w:footerReference w:type="first" r:id="rId18"/>
              <w:pgSz w:w="12240" w:h="15840"/>
              <w:pgMar w:top="2126" w:right="1440" w:bottom="851" w:left="1440" w:header="720" w:footer="720" w:gutter="0"/>
              <w:cols w:space="720"/>
              <w:titlePg/>
              <w:docGrid w:linePitch="360"/>
            </w:sectPr>
          </w:pPr>
        </w:p>
        <w:p w14:paraId="173DDBA7" w14:textId="606602E2" w:rsidR="00D5458C" w:rsidRPr="00D5458C" w:rsidRDefault="00000000" w:rsidP="00D5458C"/>
        <w:bookmarkEnd w:id="0" w:displacedByCustomXml="next"/>
      </w:sdtContent>
    </w:sdt>
    <w:sdt>
      <w:sdtPr>
        <w:rPr>
          <w:b/>
          <w:lang w:val="en-GB"/>
        </w:rPr>
        <w:id w:val="1443964909"/>
        <w:docPartObj>
          <w:docPartGallery w:val="Cover Pages"/>
          <w:docPartUnique/>
        </w:docPartObj>
      </w:sdtPr>
      <w:sdtEndPr>
        <w:rPr>
          <w:b w:val="0"/>
          <w:lang w:val="en-US"/>
        </w:rPr>
      </w:sdtEndPr>
      <w:sdtContent>
        <w:p w14:paraId="2601BEDA" w14:textId="47E0D450" w:rsidR="00C72899" w:rsidRPr="00D5458C" w:rsidRDefault="00C72899" w:rsidP="00D5458C">
          <w:pPr>
            <w:tabs>
              <w:tab w:val="left" w:pos="720"/>
              <w:tab w:val="left" w:pos="1407"/>
            </w:tabs>
            <w:rPr>
              <w:sz w:val="22"/>
              <w:szCs w:val="20"/>
            </w:rPr>
          </w:pPr>
        </w:p>
        <w:tbl>
          <w:tblPr>
            <w:tblStyle w:val="TableGrid"/>
            <w:tblpPr w:leftFromText="180" w:rightFromText="180" w:vertAnchor="text" w:horzAnchor="margin" w:tblpY="11"/>
            <w:tblW w:w="13701" w:type="dxa"/>
            <w:tblCellMar>
              <w:top w:w="11" w:type="dxa"/>
              <w:bottom w:w="11" w:type="dxa"/>
            </w:tblCellMar>
            <w:tblLook w:val="04A0" w:firstRow="1" w:lastRow="0" w:firstColumn="1" w:lastColumn="0" w:noHBand="0" w:noVBand="1"/>
          </w:tblPr>
          <w:tblGrid>
            <w:gridCol w:w="6243"/>
            <w:gridCol w:w="1070"/>
            <w:gridCol w:w="2992"/>
            <w:gridCol w:w="3396"/>
          </w:tblGrid>
          <w:tr w:rsidR="00FB3C0B" w:rsidRPr="001536C3" w14:paraId="3AC61A45" w14:textId="77777777" w:rsidTr="004F4D19">
            <w:trPr>
              <w:trHeight w:val="309"/>
            </w:trPr>
            <w:tc>
              <w:tcPr>
                <w:tcW w:w="6658" w:type="dxa"/>
                <w:tcBorders>
                  <w:bottom w:val="single" w:sz="4" w:space="0" w:color="auto"/>
                </w:tcBorders>
              </w:tcPr>
              <w:p w14:paraId="3C07CE74" w14:textId="77777777" w:rsidR="00FB3C0B" w:rsidRPr="001536C3" w:rsidRDefault="00FB3C0B" w:rsidP="00D5458C">
                <w:pPr>
                  <w:pStyle w:val="Heading3"/>
                </w:pPr>
                <w:r>
                  <w:t>Monitoring area</w:t>
                </w:r>
              </w:p>
            </w:tc>
            <w:tc>
              <w:tcPr>
                <w:tcW w:w="334" w:type="dxa"/>
                <w:tcBorders>
                  <w:bottom w:val="single" w:sz="4" w:space="0" w:color="auto"/>
                </w:tcBorders>
              </w:tcPr>
              <w:p w14:paraId="128814C1" w14:textId="35AA7A42" w:rsidR="00FB3C0B" w:rsidRPr="001536C3" w:rsidRDefault="00FB3C0B" w:rsidP="00D5458C">
                <w:pPr>
                  <w:pStyle w:val="Heading3"/>
                </w:pPr>
                <w:r w:rsidRPr="001536C3">
                  <w:t>Yes</w:t>
                </w:r>
                <w:r>
                  <w:t>/No</w:t>
                </w:r>
              </w:p>
            </w:tc>
            <w:tc>
              <w:tcPr>
                <w:tcW w:w="3128" w:type="dxa"/>
                <w:tcBorders>
                  <w:bottom w:val="single" w:sz="4" w:space="0" w:color="auto"/>
                </w:tcBorders>
              </w:tcPr>
              <w:p w14:paraId="196347E8" w14:textId="775457CE" w:rsidR="00FB3C0B" w:rsidRPr="001536C3" w:rsidRDefault="00FB3C0B" w:rsidP="00D5458C">
                <w:pPr>
                  <w:pStyle w:val="Heading3"/>
                </w:pPr>
                <w:r>
                  <w:t>Comments</w:t>
                </w:r>
              </w:p>
            </w:tc>
            <w:tc>
              <w:tcPr>
                <w:tcW w:w="3581" w:type="dxa"/>
                <w:tcBorders>
                  <w:bottom w:val="single" w:sz="4" w:space="0" w:color="auto"/>
                </w:tcBorders>
              </w:tcPr>
              <w:p w14:paraId="10CA4502" w14:textId="77777777" w:rsidR="00FB3C0B" w:rsidDel="004314FA" w:rsidRDefault="00FB3C0B" w:rsidP="00D5458C">
                <w:pPr>
                  <w:pStyle w:val="Heading3"/>
                </w:pPr>
                <w:r>
                  <w:t>Proposed actions</w:t>
                </w:r>
              </w:p>
            </w:tc>
          </w:tr>
          <w:tr w:rsidR="00FB3C0B" w:rsidRPr="001536C3" w14:paraId="488314AA" w14:textId="77777777" w:rsidTr="004F4D19">
            <w:trPr>
              <w:trHeight w:val="277"/>
            </w:trPr>
            <w:tc>
              <w:tcPr>
                <w:tcW w:w="66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776F0E89" w14:textId="5C1E38E6" w:rsidR="00FB3C0B" w:rsidRDefault="00C20D40" w:rsidP="00C20D40">
                <w:pPr>
                  <w:pStyle w:val="Heading4"/>
                </w:pPr>
                <w:r>
                  <w:t>Policy and planning</w:t>
                </w:r>
              </w:p>
            </w:tc>
            <w:tc>
              <w:tcPr>
                <w:tcW w:w="33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A8DA46A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6E96015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217DCEB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FB3C0B" w:rsidRPr="001536C3" w14:paraId="63F7C903" w14:textId="77777777" w:rsidTr="004F4D19">
            <w:trPr>
              <w:trHeight w:val="397"/>
            </w:trPr>
            <w:tc>
              <w:tcPr>
                <w:tcW w:w="6658" w:type="dxa"/>
                <w:tcBorders>
                  <w:top w:val="single" w:sz="4" w:space="0" w:color="auto"/>
                </w:tcBorders>
              </w:tcPr>
              <w:p w14:paraId="5CEA99EA" w14:textId="57F50450" w:rsidR="00FB3C0B" w:rsidRPr="00400F13" w:rsidRDefault="00FB3C0B" w:rsidP="00B24F69">
                <w:pPr>
                  <w:rPr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 xml:space="preserve">Does the school have an appropriate </w:t>
                </w:r>
                <w:hyperlink r:id="rId19" w:anchor="elements-of-a-health-and-safety-policy" w:history="1">
                  <w:r w:rsidRPr="00CC59D2">
                    <w:rPr>
                      <w:rStyle w:val="Hyperlink"/>
                      <w:szCs w:val="24"/>
                    </w:rPr>
                    <w:t>health and safety policy</w:t>
                  </w:r>
                </w:hyperlink>
                <w:r>
                  <w:rPr>
                    <w:rFonts w:ascii="Calibri" w:hAnsi="Calibri"/>
                    <w:szCs w:val="24"/>
                  </w:rPr>
                  <w:t xml:space="preserve"> in place that is reviewed</w:t>
                </w:r>
                <w:r w:rsidRPr="00400F13">
                  <w:rPr>
                    <w:rFonts w:ascii="Calibri" w:hAnsi="Calibri"/>
                    <w:szCs w:val="24"/>
                  </w:rPr>
                  <w:t xml:space="preserve"> </w:t>
                </w:r>
                <w:r>
                  <w:rPr>
                    <w:rFonts w:ascii="Calibri" w:hAnsi="Calibri"/>
                    <w:szCs w:val="24"/>
                  </w:rPr>
                  <w:t>annually?</w:t>
                </w:r>
                <w:r w:rsidR="00401C68">
                  <w:rPr>
                    <w:rFonts w:ascii="Calibri" w:hAnsi="Calibri"/>
                    <w:szCs w:val="24"/>
                  </w:rPr>
                  <w:t xml:space="preserve"> Model Policy for Southwark schools available on </w:t>
                </w:r>
                <w:r w:rsidR="00401C68" w:rsidRPr="00401C68">
                  <w:rPr>
                    <w:rFonts w:ascii="Calibri" w:hAnsi="Calibri"/>
                    <w:i/>
                    <w:iCs/>
                    <w:szCs w:val="24"/>
                  </w:rPr>
                  <w:t>Assure</w:t>
                </w:r>
                <w:r w:rsidR="00401C68">
                  <w:rPr>
                    <w:rFonts w:ascii="Calibri" w:hAnsi="Calibri"/>
                    <w:szCs w:val="24"/>
                  </w:rPr>
                  <w:t xml:space="preserve"> </w:t>
                </w:r>
              </w:p>
            </w:tc>
            <w:tc>
              <w:tcPr>
                <w:tcW w:w="334" w:type="dxa"/>
                <w:tcBorders>
                  <w:top w:val="single" w:sz="4" w:space="0" w:color="auto"/>
                </w:tcBorders>
              </w:tcPr>
              <w:p w14:paraId="2F1F7F79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  <w:tcBorders>
                  <w:top w:val="single" w:sz="4" w:space="0" w:color="auto"/>
                </w:tcBorders>
              </w:tcPr>
              <w:p w14:paraId="0F7A11CD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  <w:tcBorders>
                  <w:top w:val="single" w:sz="4" w:space="0" w:color="auto"/>
                </w:tcBorders>
              </w:tcPr>
              <w:p w14:paraId="5909B1D3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FB3C0B" w:rsidRPr="001536C3" w14:paraId="5AC0F8CF" w14:textId="77777777" w:rsidTr="004F4D19">
            <w:trPr>
              <w:trHeight w:val="397"/>
            </w:trPr>
            <w:tc>
              <w:tcPr>
                <w:tcW w:w="6658" w:type="dxa"/>
              </w:tcPr>
              <w:p w14:paraId="593953E8" w14:textId="62D3AB87" w:rsidR="00FB3C0B" w:rsidRDefault="00FB3C0B" w:rsidP="00867A9B">
                <w:pPr>
                  <w:pStyle w:val="MainText"/>
                  <w:spacing w:after="0"/>
                </w:pPr>
                <w:r>
                  <w:t>Is there a plan</w:t>
                </w:r>
                <w:r w:rsidRPr="00400F13">
                  <w:t xml:space="preserve"> </w:t>
                </w:r>
                <w:r>
                  <w:t>detailing what the school would do and their response in the event of an emergency?</w:t>
                </w:r>
              </w:p>
              <w:p w14:paraId="33E75E5E" w14:textId="5B6150BB" w:rsidR="00FB3C0B" w:rsidRDefault="00FB3C0B" w:rsidP="00867A9B">
                <w:pPr>
                  <w:rPr>
                    <w:rFonts w:ascii="Calibri" w:hAnsi="Calibri"/>
                    <w:szCs w:val="24"/>
                  </w:rPr>
                </w:pPr>
                <w:r>
                  <w:t xml:space="preserve">(Refer to DfE </w:t>
                </w:r>
                <w:hyperlink r:id="rId20" w:history="1">
                  <w:r w:rsidRPr="00FC19A3">
                    <w:rPr>
                      <w:rStyle w:val="Hyperlink"/>
                    </w:rPr>
                    <w:t>emergency planning guidance</w:t>
                  </w:r>
                </w:hyperlink>
                <w:r>
                  <w:t>)</w:t>
                </w:r>
              </w:p>
            </w:tc>
            <w:tc>
              <w:tcPr>
                <w:tcW w:w="334" w:type="dxa"/>
              </w:tcPr>
              <w:p w14:paraId="4E1C13AA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6459C6E8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63309B41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C20D40" w:rsidRPr="001536C3" w14:paraId="16B0480A" w14:textId="77777777" w:rsidTr="004F4D19">
            <w:trPr>
              <w:trHeight w:val="233"/>
            </w:trPr>
            <w:tc>
              <w:tcPr>
                <w:tcW w:w="6658" w:type="dxa"/>
              </w:tcPr>
              <w:p w14:paraId="7A1A7EBC" w14:textId="0704424D" w:rsidR="00C20D40" w:rsidRDefault="00C20D40" w:rsidP="00C20D40">
                <w:pPr>
                  <w:pStyle w:val="Heading4"/>
                </w:pPr>
                <w:r>
                  <w:t>Health and safety practice</w:t>
                </w:r>
              </w:p>
            </w:tc>
            <w:tc>
              <w:tcPr>
                <w:tcW w:w="334" w:type="dxa"/>
              </w:tcPr>
              <w:p w14:paraId="657CE8E8" w14:textId="77777777" w:rsidR="00C20D40" w:rsidRPr="001536C3" w:rsidRDefault="00C20D40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03FFFACE" w14:textId="77777777" w:rsidR="00C20D40" w:rsidRPr="001536C3" w:rsidRDefault="00C20D40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0E45613E" w14:textId="77777777" w:rsidR="00C20D40" w:rsidRPr="001536C3" w:rsidRDefault="00C20D40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0F0174" w:rsidRPr="001536C3" w14:paraId="79EB8EC7" w14:textId="77777777" w:rsidTr="004F4D19">
            <w:trPr>
              <w:trHeight w:val="397"/>
            </w:trPr>
            <w:tc>
              <w:tcPr>
                <w:tcW w:w="6658" w:type="dxa"/>
              </w:tcPr>
              <w:p w14:paraId="7EC45A12" w14:textId="73B7CDD3" w:rsidR="000F0174" w:rsidRDefault="000F0174" w:rsidP="00B24F69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 xml:space="preserve">Has the school appointed, or arranged support from, a competent person(s) </w:t>
                </w:r>
                <w:r w:rsidRPr="00B06C74">
                  <w:rPr>
                    <w:rFonts w:ascii="Calibri" w:hAnsi="Calibri"/>
                    <w:szCs w:val="24"/>
                  </w:rPr>
                  <w:t>with the necessary skills, knowledge and experience to give sensible guidance about managing health and safety risk</w:t>
                </w:r>
                <w:r>
                  <w:rPr>
                    <w:rFonts w:ascii="Calibri" w:hAnsi="Calibri"/>
                    <w:szCs w:val="24"/>
                  </w:rPr>
                  <w:t>s</w:t>
                </w:r>
                <w:r w:rsidRPr="00B06C74">
                  <w:rPr>
                    <w:rFonts w:ascii="Calibri" w:hAnsi="Calibri"/>
                    <w:szCs w:val="24"/>
                  </w:rPr>
                  <w:t>?</w:t>
                </w:r>
              </w:p>
            </w:tc>
            <w:tc>
              <w:tcPr>
                <w:tcW w:w="334" w:type="dxa"/>
              </w:tcPr>
              <w:p w14:paraId="4DC0735A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6B1625A0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4BAE5479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0F0174" w:rsidRPr="001536C3" w14:paraId="643BA28F" w14:textId="77777777" w:rsidTr="004F4D19">
            <w:trPr>
              <w:trHeight w:val="397"/>
            </w:trPr>
            <w:tc>
              <w:tcPr>
                <w:tcW w:w="6658" w:type="dxa"/>
              </w:tcPr>
              <w:p w14:paraId="54DE5E1A" w14:textId="1A637717" w:rsidR="000F0174" w:rsidRDefault="000F0174" w:rsidP="00B24F69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</w:rPr>
                  <w:t xml:space="preserve">Is a system in place to </w:t>
                </w:r>
                <w:hyperlink r:id="rId21" w:anchor="assessing-and-managing-risks" w:history="1">
                  <w:r w:rsidRPr="00994FFB">
                    <w:rPr>
                      <w:rStyle w:val="Hyperlink"/>
                      <w:rFonts w:ascii="Calibri" w:hAnsi="Calibri"/>
                      <w:lang w:val="en-GB"/>
                    </w:rPr>
                    <w:t>assess risks</w:t>
                  </w:r>
                </w:hyperlink>
                <w:r w:rsidRPr="00994FFB">
                  <w:rPr>
                    <w:rFonts w:ascii="Calibri" w:hAnsi="Calibri"/>
                  </w:rPr>
                  <w:t xml:space="preserve"> and </w:t>
                </w:r>
                <w:r w:rsidR="009E74BA">
                  <w:rPr>
                    <w:rFonts w:ascii="Calibri" w:hAnsi="Calibri"/>
                  </w:rPr>
                  <w:t>implement</w:t>
                </w:r>
                <w:r w:rsidRPr="00994FFB">
                  <w:rPr>
                    <w:rFonts w:ascii="Calibri" w:hAnsi="Calibri"/>
                  </w:rPr>
                  <w:t xml:space="preserve"> proportionate control measures?</w:t>
                </w:r>
              </w:p>
            </w:tc>
            <w:tc>
              <w:tcPr>
                <w:tcW w:w="334" w:type="dxa"/>
              </w:tcPr>
              <w:p w14:paraId="71CCFE9B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6050877A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0C6A473D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0F0174" w:rsidRPr="001536C3" w14:paraId="3B2D05CD" w14:textId="77777777" w:rsidTr="004F4D19">
            <w:trPr>
              <w:trHeight w:val="397"/>
            </w:trPr>
            <w:tc>
              <w:tcPr>
                <w:tcW w:w="6658" w:type="dxa"/>
              </w:tcPr>
              <w:p w14:paraId="597C8C76" w14:textId="546DBD23" w:rsidR="000F0174" w:rsidRDefault="000F0174" w:rsidP="00B24F69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cstheme="minorHAnsi"/>
                    <w:szCs w:val="24"/>
                  </w:rPr>
                  <w:t xml:space="preserve">If the school maintains a risk register, are significant health and safety risks recorded along with control </w:t>
                </w:r>
                <w:r w:rsidRPr="00F01560">
                  <w:rPr>
                    <w:rFonts w:ascii="Calibri" w:hAnsi="Calibri"/>
                    <w:szCs w:val="24"/>
                  </w:rPr>
                  <w:t>measures</w:t>
                </w:r>
                <w:r>
                  <w:rPr>
                    <w:rFonts w:ascii="Calibri" w:hAnsi="Calibri"/>
                    <w:szCs w:val="24"/>
                  </w:rPr>
                  <w:t>?</w:t>
                </w:r>
              </w:p>
            </w:tc>
            <w:tc>
              <w:tcPr>
                <w:tcW w:w="334" w:type="dxa"/>
              </w:tcPr>
              <w:p w14:paraId="1A2575CB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2A24BEF2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5EBE075B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0F0174" w:rsidRPr="001536C3" w14:paraId="5E370CC4" w14:textId="77777777" w:rsidTr="004F4D19">
            <w:trPr>
              <w:trHeight w:val="397"/>
            </w:trPr>
            <w:tc>
              <w:tcPr>
                <w:tcW w:w="6658" w:type="dxa"/>
              </w:tcPr>
              <w:p w14:paraId="292A4C21" w14:textId="2EDE2A76" w:rsidR="000F0174" w:rsidRDefault="000F0174" w:rsidP="00B24F69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>Is there provision in the budget for</w:t>
                </w:r>
                <w:r w:rsidRPr="00400F13">
                  <w:rPr>
                    <w:rFonts w:ascii="Calibri" w:hAnsi="Calibri"/>
                    <w:szCs w:val="24"/>
                  </w:rPr>
                  <w:t xml:space="preserve"> health and safety training</w:t>
                </w:r>
                <w:r>
                  <w:rPr>
                    <w:rFonts w:ascii="Calibri" w:hAnsi="Calibri"/>
                    <w:szCs w:val="24"/>
                  </w:rPr>
                  <w:t xml:space="preserve"> and any</w:t>
                </w:r>
                <w:r w:rsidRPr="00400F13">
                  <w:rPr>
                    <w:rFonts w:ascii="Calibri" w:hAnsi="Calibri"/>
                    <w:szCs w:val="24"/>
                  </w:rPr>
                  <w:t xml:space="preserve"> services required?</w:t>
                </w:r>
              </w:p>
            </w:tc>
            <w:tc>
              <w:tcPr>
                <w:tcW w:w="334" w:type="dxa"/>
              </w:tcPr>
              <w:p w14:paraId="56B7480F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50543885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4A0934AF" w14:textId="77777777" w:rsidR="000F0174" w:rsidRPr="001536C3" w:rsidRDefault="000F0174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FB3C0B" w:rsidRPr="001536C3" w14:paraId="15B83275" w14:textId="77777777" w:rsidTr="004F4D19">
            <w:trPr>
              <w:trHeight w:val="397"/>
            </w:trPr>
            <w:tc>
              <w:tcPr>
                <w:tcW w:w="6658" w:type="dxa"/>
              </w:tcPr>
              <w:p w14:paraId="6F6DCCDF" w14:textId="47717580" w:rsidR="00FB3C0B" w:rsidRDefault="00FB3C0B" w:rsidP="00B24F69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 xml:space="preserve">Do staff receive information and training about health and safety? </w:t>
                </w:r>
                <w:r w:rsidRPr="00400F13">
                  <w:rPr>
                    <w:rFonts w:ascii="Calibri" w:hAnsi="Calibri"/>
                    <w:szCs w:val="24"/>
                  </w:rPr>
                  <w:t>(</w:t>
                </w:r>
                <w:r>
                  <w:rPr>
                    <w:rFonts w:ascii="Calibri" w:hAnsi="Calibri"/>
                    <w:szCs w:val="24"/>
                  </w:rPr>
                  <w:t>Such as assessing risk, dealing with emergencies and reporting accidents.)</w:t>
                </w:r>
              </w:p>
            </w:tc>
            <w:tc>
              <w:tcPr>
                <w:tcW w:w="334" w:type="dxa"/>
              </w:tcPr>
              <w:p w14:paraId="62597CF2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185366C8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529ABFAD" w14:textId="77777777" w:rsidR="00FB3C0B" w:rsidRPr="001536C3" w:rsidRDefault="00FB3C0B" w:rsidP="00D5458C">
                <w:pPr>
                  <w:rPr>
                    <w:sz w:val="22"/>
                    <w:szCs w:val="20"/>
                  </w:rPr>
                </w:pPr>
              </w:p>
            </w:tc>
          </w:tr>
          <w:tr w:rsidR="00B657B0" w:rsidRPr="001536C3" w14:paraId="410DA11C" w14:textId="77777777" w:rsidTr="004F4D19">
            <w:trPr>
              <w:trHeight w:val="397"/>
            </w:trPr>
            <w:tc>
              <w:tcPr>
                <w:tcW w:w="6658" w:type="dxa"/>
              </w:tcPr>
              <w:p w14:paraId="05366BFD" w14:textId="0F67DF78" w:rsidR="00B657B0" w:rsidRDefault="00B657B0" w:rsidP="00B657B0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>Is there routine reporting of health and safety matters to the board that includes accidents, incidents, identified trends and actions taken?</w:t>
                </w:r>
              </w:p>
            </w:tc>
            <w:tc>
              <w:tcPr>
                <w:tcW w:w="334" w:type="dxa"/>
              </w:tcPr>
              <w:p w14:paraId="13D97652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189CDE1D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5501CC76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</w:tr>
          <w:tr w:rsidR="00B657B0" w:rsidRPr="001536C3" w14:paraId="76E15F3B" w14:textId="77777777" w:rsidTr="004F4D19">
            <w:trPr>
              <w:trHeight w:val="311"/>
            </w:trPr>
            <w:tc>
              <w:tcPr>
                <w:tcW w:w="6658" w:type="dxa"/>
              </w:tcPr>
              <w:p w14:paraId="3F5C792A" w14:textId="787081C8" w:rsidR="00B657B0" w:rsidRPr="009A258F" w:rsidRDefault="00B657B0" w:rsidP="00B657B0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>Is staff health and safety training reported to the board?</w:t>
                </w:r>
              </w:p>
            </w:tc>
            <w:tc>
              <w:tcPr>
                <w:tcW w:w="334" w:type="dxa"/>
              </w:tcPr>
              <w:p w14:paraId="59A11D8B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6BE48679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3907AF6B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</w:tr>
          <w:tr w:rsidR="00B657B0" w:rsidRPr="001536C3" w14:paraId="76B516C5" w14:textId="77777777" w:rsidTr="00401C68">
            <w:trPr>
              <w:trHeight w:val="688"/>
            </w:trPr>
            <w:tc>
              <w:tcPr>
                <w:tcW w:w="6658" w:type="dxa"/>
              </w:tcPr>
              <w:p w14:paraId="39DFB2B6" w14:textId="77777777" w:rsidR="00B657B0" w:rsidRDefault="00B657B0" w:rsidP="00B657B0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>Are the findings of external health and safety audits reported to the board and acted upon?</w:t>
                </w:r>
                <w:r w:rsidR="00401C68">
                  <w:rPr>
                    <w:rFonts w:ascii="Calibri" w:hAnsi="Calibri"/>
                    <w:szCs w:val="24"/>
                  </w:rPr>
                  <w:t xml:space="preserve"> </w:t>
                </w:r>
              </w:p>
              <w:p w14:paraId="03DC991F" w14:textId="14D2A5CB" w:rsidR="00401C68" w:rsidRDefault="00401C68" w:rsidP="00B657B0">
                <w:pPr>
                  <w:rPr>
                    <w:rFonts w:ascii="Calibri" w:hAnsi="Calibri"/>
                    <w:szCs w:val="24"/>
                  </w:rPr>
                </w:pPr>
                <w:r>
                  <w:rPr>
                    <w:rFonts w:ascii="Calibri" w:hAnsi="Calibri"/>
                    <w:szCs w:val="24"/>
                  </w:rPr>
                  <w:t xml:space="preserve">Are you aware of any outstanding action on </w:t>
                </w:r>
                <w:r w:rsidRPr="00401C68">
                  <w:rPr>
                    <w:rFonts w:ascii="Calibri" w:hAnsi="Calibri"/>
                    <w:i/>
                    <w:iCs/>
                    <w:szCs w:val="24"/>
                  </w:rPr>
                  <w:t>Assure</w:t>
                </w:r>
                <w:r>
                  <w:rPr>
                    <w:rFonts w:ascii="Calibri" w:hAnsi="Calibri"/>
                    <w:i/>
                    <w:iCs/>
                    <w:szCs w:val="24"/>
                  </w:rPr>
                  <w:t>?</w:t>
                </w:r>
              </w:p>
            </w:tc>
            <w:tc>
              <w:tcPr>
                <w:tcW w:w="334" w:type="dxa"/>
              </w:tcPr>
              <w:p w14:paraId="40EADDDA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128" w:type="dxa"/>
              </w:tcPr>
              <w:p w14:paraId="7E810E72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  <w:tc>
              <w:tcPr>
                <w:tcW w:w="3581" w:type="dxa"/>
              </w:tcPr>
              <w:p w14:paraId="38141D4E" w14:textId="77777777" w:rsidR="00B657B0" w:rsidRPr="001536C3" w:rsidRDefault="00B657B0" w:rsidP="00B657B0">
                <w:pPr>
                  <w:rPr>
                    <w:sz w:val="22"/>
                    <w:szCs w:val="20"/>
                  </w:rPr>
                </w:pPr>
              </w:p>
            </w:tc>
          </w:tr>
        </w:tbl>
        <w:p w14:paraId="2C037EFA" w14:textId="541945AA" w:rsidR="00C72899" w:rsidRPr="00326548" w:rsidRDefault="00000000" w:rsidP="00C72899">
          <w:pPr>
            <w:rPr>
              <w:sz w:val="2"/>
              <w:szCs w:val="2"/>
            </w:rPr>
          </w:pPr>
        </w:p>
      </w:sdtContent>
    </w:sdt>
    <w:sectPr w:rsidR="00C72899" w:rsidRPr="00326548" w:rsidSect="008B2BC5">
      <w:pgSz w:w="15840" w:h="12240" w:orient="landscape"/>
      <w:pgMar w:top="1440" w:right="2126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CA20F" w14:textId="77777777" w:rsidR="004D1649" w:rsidRDefault="004D1649">
      <w:r>
        <w:separator/>
      </w:r>
    </w:p>
  </w:endnote>
  <w:endnote w:type="continuationSeparator" w:id="0">
    <w:p w14:paraId="66F77C8C" w14:textId="77777777" w:rsidR="004D1649" w:rsidRDefault="004D1649">
      <w:r>
        <w:continuationSeparator/>
      </w:r>
    </w:p>
  </w:endnote>
  <w:endnote w:type="continuationNotice" w:id="1">
    <w:p w14:paraId="10611235" w14:textId="77777777" w:rsidR="004D1649" w:rsidRDefault="004D16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A29C" w14:textId="097EA3AC" w:rsidR="00133334" w:rsidRPr="002E3F01" w:rsidRDefault="00B107A9" w:rsidP="00133334">
    <w:pPr>
      <w:spacing w:before="240"/>
      <w:rPr>
        <w:color w:val="000000"/>
        <w:sz w:val="20"/>
        <w:szCs w:val="20"/>
      </w:rPr>
    </w:pPr>
    <w:r>
      <w:rPr>
        <w:color w:val="000000"/>
        <w:sz w:val="20"/>
        <w:szCs w:val="20"/>
      </w:rPr>
      <w:t>May</w:t>
    </w:r>
    <w:r w:rsidR="007C0447">
      <w:rPr>
        <w:color w:val="000000"/>
        <w:sz w:val="20"/>
        <w:szCs w:val="20"/>
      </w:rPr>
      <w:t xml:space="preserve"> 202</w:t>
    </w:r>
    <w:r w:rsidR="00005600">
      <w:rPr>
        <w:color w:val="000000"/>
        <w:sz w:val="20"/>
        <w:szCs w:val="20"/>
      </w:rPr>
      <w:t>2</w:t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8B2BC5">
      <w:rPr>
        <w:color w:val="000000"/>
        <w:sz w:val="20"/>
        <w:szCs w:val="20"/>
      </w:rPr>
      <w:tab/>
    </w:r>
    <w:r w:rsidR="008B2BC5">
      <w:rPr>
        <w:color w:val="000000"/>
        <w:sz w:val="20"/>
        <w:szCs w:val="20"/>
      </w:rPr>
      <w:tab/>
    </w:r>
    <w:r w:rsidR="008B2BC5">
      <w:rPr>
        <w:color w:val="000000"/>
        <w:sz w:val="20"/>
        <w:szCs w:val="20"/>
      </w:rPr>
      <w:tab/>
    </w:r>
    <w:r w:rsidR="008B2BC5">
      <w:rPr>
        <w:color w:val="000000"/>
        <w:sz w:val="20"/>
        <w:szCs w:val="20"/>
      </w:rPr>
      <w:tab/>
    </w:r>
    <w:r w:rsidR="008B2BC5">
      <w:rPr>
        <w:color w:val="000000"/>
        <w:sz w:val="20"/>
        <w:szCs w:val="20"/>
      </w:rPr>
      <w:tab/>
    </w:r>
    <w:r w:rsidR="007C0447" w:rsidRPr="007226EB">
      <w:rPr>
        <w:color w:val="000000"/>
        <w:sz w:val="20"/>
        <w:szCs w:val="20"/>
      </w:rPr>
      <w:t>© National Governance Association 202</w:t>
    </w:r>
    <w:r w:rsidR="00005600">
      <w:rPr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D4049" w14:textId="20A1BF52" w:rsidR="00133334" w:rsidRPr="002E3F01" w:rsidRDefault="00B107A9" w:rsidP="00133334">
    <w:pPr>
      <w:spacing w:before="240"/>
      <w:rPr>
        <w:color w:val="000000"/>
        <w:sz w:val="20"/>
        <w:szCs w:val="20"/>
      </w:rPr>
    </w:pPr>
    <w:r>
      <w:rPr>
        <w:color w:val="000000"/>
        <w:sz w:val="20"/>
        <w:szCs w:val="20"/>
      </w:rPr>
      <w:t>May</w:t>
    </w:r>
    <w:r w:rsidR="007C0447">
      <w:rPr>
        <w:color w:val="000000"/>
        <w:sz w:val="20"/>
        <w:szCs w:val="20"/>
      </w:rPr>
      <w:t xml:space="preserve"> 202</w:t>
    </w:r>
    <w:r w:rsidR="00005600">
      <w:rPr>
        <w:color w:val="000000"/>
        <w:sz w:val="20"/>
        <w:szCs w:val="20"/>
      </w:rPr>
      <w:t>2</w:t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>
      <w:rPr>
        <w:color w:val="000000"/>
        <w:sz w:val="20"/>
        <w:szCs w:val="20"/>
      </w:rPr>
      <w:tab/>
    </w:r>
    <w:r w:rsidR="007C0447" w:rsidRPr="007226EB">
      <w:rPr>
        <w:color w:val="000000"/>
        <w:sz w:val="20"/>
        <w:szCs w:val="20"/>
      </w:rPr>
      <w:t>© National Governance Association 202</w:t>
    </w:r>
    <w:r w:rsidR="00005600">
      <w:rPr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E99C5" w14:textId="77777777" w:rsidR="004D1649" w:rsidRDefault="004D1649">
      <w:r>
        <w:separator/>
      </w:r>
    </w:p>
  </w:footnote>
  <w:footnote w:type="continuationSeparator" w:id="0">
    <w:p w14:paraId="36CF6DE9" w14:textId="77777777" w:rsidR="004D1649" w:rsidRDefault="004D1649">
      <w:r>
        <w:continuationSeparator/>
      </w:r>
    </w:p>
  </w:footnote>
  <w:footnote w:type="continuationNotice" w:id="1">
    <w:p w14:paraId="12124DC8" w14:textId="77777777" w:rsidR="004D1649" w:rsidRDefault="004D16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4431" w14:textId="77777777" w:rsidR="00133334" w:rsidRDefault="007844A9" w:rsidP="008B2BC5">
    <w:pPr>
      <w:pStyle w:val="Header"/>
      <w:ind w:left="426" w:hanging="426"/>
    </w:pPr>
    <w:r>
      <w:rPr>
        <w:noProof/>
      </w:rPr>
      <w:drawing>
        <wp:inline distT="0" distB="0" distL="0" distR="0" wp14:anchorId="34D1ABE9" wp14:editId="6ABCDEB0">
          <wp:extent cx="1518036" cy="603556"/>
          <wp:effectExtent l="0" t="0" r="6350" b="6350"/>
          <wp:docPr id="1439146874" name="Picture 143914687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60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E6240" w14:textId="77777777" w:rsidR="00133334" w:rsidRDefault="007844A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B7E5FE" wp14:editId="2BFF3C3B">
          <wp:simplePos x="0" y="0"/>
          <wp:positionH relativeFrom="column">
            <wp:posOffset>4457700</wp:posOffset>
          </wp:positionH>
          <wp:positionV relativeFrom="paragraph">
            <wp:posOffset>9525</wp:posOffset>
          </wp:positionV>
          <wp:extent cx="1820545" cy="1327150"/>
          <wp:effectExtent l="0" t="0" r="8255" b="6350"/>
          <wp:wrapNone/>
          <wp:docPr id="1847750861" name="Picture 184775086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shap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0"/>
                  <a:stretch/>
                </pic:blipFill>
                <pic:spPr bwMode="auto">
                  <a:xfrm>
                    <a:off x="0" y="0"/>
                    <a:ext cx="1820545" cy="1327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DC3606" w14:textId="736B3C01" w:rsidR="00133334" w:rsidRDefault="007844A9" w:rsidP="00133334">
    <w:pPr>
      <w:pStyle w:val="Header"/>
      <w:tabs>
        <w:tab w:val="left" w:pos="7995"/>
      </w:tabs>
    </w:pPr>
    <w:r>
      <w:rPr>
        <w:noProof/>
      </w:rPr>
      <w:drawing>
        <wp:inline distT="0" distB="0" distL="0" distR="0" wp14:anchorId="79B6800B" wp14:editId="695B1350">
          <wp:extent cx="1518036" cy="603556"/>
          <wp:effectExtent l="0" t="0" r="6350" b="6350"/>
          <wp:docPr id="1750244283" name="Picture 17502442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8036" cy="603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</w:p>
  <w:p w14:paraId="73E9E9CC" w14:textId="6FBB25A0" w:rsidR="009832F0" w:rsidRDefault="009832F0" w:rsidP="00133334">
    <w:pPr>
      <w:pStyle w:val="Header"/>
      <w:tabs>
        <w:tab w:val="left" w:pos="7995"/>
      </w:tabs>
    </w:pPr>
  </w:p>
  <w:p w14:paraId="02EB2A26" w14:textId="1428E3B1" w:rsidR="009832F0" w:rsidRDefault="009832F0" w:rsidP="00133334">
    <w:pPr>
      <w:pStyle w:val="Header"/>
      <w:tabs>
        <w:tab w:val="left" w:pos="7995"/>
      </w:tabs>
    </w:pPr>
  </w:p>
  <w:p w14:paraId="7FB3B33F" w14:textId="77777777" w:rsidR="00C52857" w:rsidRDefault="00C52857" w:rsidP="00133334">
    <w:pPr>
      <w:pStyle w:val="Header"/>
      <w:tabs>
        <w:tab w:val="left" w:pos="79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A6D96"/>
    <w:multiLevelType w:val="hybridMultilevel"/>
    <w:tmpl w:val="4E0ECB4A"/>
    <w:lvl w:ilvl="0" w:tplc="DE0ADB50">
      <w:start w:val="1"/>
      <w:numFmt w:val="bullet"/>
      <w:pStyle w:val="Bullettext"/>
      <w:lvlText w:val="n"/>
      <w:lvlJc w:val="left"/>
      <w:pPr>
        <w:ind w:left="284" w:hanging="284"/>
      </w:pPr>
      <w:rPr>
        <w:rFonts w:ascii="Wingdings" w:hAnsi="Wingdings" w:hint="default"/>
        <w:b w:val="0"/>
        <w:i w:val="0"/>
        <w:color w:val="0563C1"/>
        <w:sz w:val="20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E7B58"/>
    <w:multiLevelType w:val="hybridMultilevel"/>
    <w:tmpl w:val="34EA4250"/>
    <w:lvl w:ilvl="0" w:tplc="8452D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C1445"/>
    <w:multiLevelType w:val="hybridMultilevel"/>
    <w:tmpl w:val="019C2734"/>
    <w:lvl w:ilvl="0" w:tplc="E5801D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645B1"/>
    <w:multiLevelType w:val="hybridMultilevel"/>
    <w:tmpl w:val="DB6C39D6"/>
    <w:lvl w:ilvl="0" w:tplc="27F89BF6">
      <w:start w:val="1"/>
      <w:numFmt w:val="decimal"/>
      <w:pStyle w:val="ListParagraph"/>
      <w:lvlText w:val="%1."/>
      <w:lvlJc w:val="left"/>
      <w:pPr>
        <w:ind w:left="360" w:hanging="360"/>
      </w:pPr>
      <w:rPr>
        <w:color w:val="054078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E79040C"/>
    <w:multiLevelType w:val="hybridMultilevel"/>
    <w:tmpl w:val="E74AC262"/>
    <w:lvl w:ilvl="0" w:tplc="0809000F">
      <w:start w:val="1"/>
      <w:numFmt w:val="decimal"/>
      <w:lvlText w:val="%1."/>
      <w:lvlJc w:val="left"/>
      <w:pPr>
        <w:ind w:left="360" w:hanging="360"/>
      </w:pPr>
      <w:rPr>
        <w:color w:val="4472C4" w:themeColor="accent1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39950834">
    <w:abstractNumId w:val="0"/>
  </w:num>
  <w:num w:numId="2" w16cid:durableId="519857426">
    <w:abstractNumId w:val="0"/>
    <w:lvlOverride w:ilvl="0">
      <w:startOverride w:val="1"/>
    </w:lvlOverride>
  </w:num>
  <w:num w:numId="3" w16cid:durableId="2011639529">
    <w:abstractNumId w:val="0"/>
    <w:lvlOverride w:ilvl="0">
      <w:startOverride w:val="1"/>
    </w:lvlOverride>
  </w:num>
  <w:num w:numId="4" w16cid:durableId="19700164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3214460">
    <w:abstractNumId w:val="0"/>
  </w:num>
  <w:num w:numId="6" w16cid:durableId="8070895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388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6769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735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91303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0152755">
    <w:abstractNumId w:val="0"/>
  </w:num>
  <w:num w:numId="12" w16cid:durableId="2114786878">
    <w:abstractNumId w:val="2"/>
  </w:num>
  <w:num w:numId="13" w16cid:durableId="1763257164">
    <w:abstractNumId w:val="1"/>
  </w:num>
  <w:num w:numId="14" w16cid:durableId="47233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cumentProtection w:edit="readOnly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A9"/>
    <w:rsid w:val="00005600"/>
    <w:rsid w:val="0003228B"/>
    <w:rsid w:val="00065D81"/>
    <w:rsid w:val="00076561"/>
    <w:rsid w:val="0008494E"/>
    <w:rsid w:val="000934C8"/>
    <w:rsid w:val="000E5926"/>
    <w:rsid w:val="000F0174"/>
    <w:rsid w:val="0010341E"/>
    <w:rsid w:val="00133334"/>
    <w:rsid w:val="00140045"/>
    <w:rsid w:val="001536C3"/>
    <w:rsid w:val="001572F1"/>
    <w:rsid w:val="00165BE2"/>
    <w:rsid w:val="001937E4"/>
    <w:rsid w:val="00196797"/>
    <w:rsid w:val="001B1B12"/>
    <w:rsid w:val="001B2BF8"/>
    <w:rsid w:val="001C027E"/>
    <w:rsid w:val="001C06C6"/>
    <w:rsid w:val="001E6394"/>
    <w:rsid w:val="00220A5E"/>
    <w:rsid w:val="002320A2"/>
    <w:rsid w:val="00265E23"/>
    <w:rsid w:val="0027386E"/>
    <w:rsid w:val="00281CCE"/>
    <w:rsid w:val="002B2C08"/>
    <w:rsid w:val="002C429B"/>
    <w:rsid w:val="002D10A8"/>
    <w:rsid w:val="002E4A9F"/>
    <w:rsid w:val="00305C17"/>
    <w:rsid w:val="003132FC"/>
    <w:rsid w:val="0031430C"/>
    <w:rsid w:val="00326548"/>
    <w:rsid w:val="00333139"/>
    <w:rsid w:val="003360D9"/>
    <w:rsid w:val="003504F9"/>
    <w:rsid w:val="00356C4E"/>
    <w:rsid w:val="003A256E"/>
    <w:rsid w:val="00400F13"/>
    <w:rsid w:val="00401C68"/>
    <w:rsid w:val="0042218D"/>
    <w:rsid w:val="00463771"/>
    <w:rsid w:val="004825FE"/>
    <w:rsid w:val="00497108"/>
    <w:rsid w:val="004D1649"/>
    <w:rsid w:val="004F341C"/>
    <w:rsid w:val="004F4D19"/>
    <w:rsid w:val="0050269E"/>
    <w:rsid w:val="00503DDD"/>
    <w:rsid w:val="00521E41"/>
    <w:rsid w:val="005A503F"/>
    <w:rsid w:val="005A66B1"/>
    <w:rsid w:val="005C4919"/>
    <w:rsid w:val="005E1F16"/>
    <w:rsid w:val="005E2D3E"/>
    <w:rsid w:val="005F5A07"/>
    <w:rsid w:val="00652E65"/>
    <w:rsid w:val="00653EFB"/>
    <w:rsid w:val="00683886"/>
    <w:rsid w:val="00692584"/>
    <w:rsid w:val="00692A3F"/>
    <w:rsid w:val="006D4605"/>
    <w:rsid w:val="006E2DE4"/>
    <w:rsid w:val="006E482C"/>
    <w:rsid w:val="006F3FA4"/>
    <w:rsid w:val="006F6BD6"/>
    <w:rsid w:val="0071370B"/>
    <w:rsid w:val="00736431"/>
    <w:rsid w:val="0076092A"/>
    <w:rsid w:val="0077653E"/>
    <w:rsid w:val="00781E4A"/>
    <w:rsid w:val="007844A9"/>
    <w:rsid w:val="007B17D3"/>
    <w:rsid w:val="007C0447"/>
    <w:rsid w:val="007D7C5A"/>
    <w:rsid w:val="00805330"/>
    <w:rsid w:val="008119E1"/>
    <w:rsid w:val="00820676"/>
    <w:rsid w:val="00850308"/>
    <w:rsid w:val="00867A9B"/>
    <w:rsid w:val="00887B96"/>
    <w:rsid w:val="008A4F6E"/>
    <w:rsid w:val="008B2BC5"/>
    <w:rsid w:val="008B5617"/>
    <w:rsid w:val="008D729B"/>
    <w:rsid w:val="008F3075"/>
    <w:rsid w:val="009038DF"/>
    <w:rsid w:val="00942E04"/>
    <w:rsid w:val="00951337"/>
    <w:rsid w:val="00951AB5"/>
    <w:rsid w:val="00952652"/>
    <w:rsid w:val="00974CCC"/>
    <w:rsid w:val="00977E16"/>
    <w:rsid w:val="009811F5"/>
    <w:rsid w:val="009832F0"/>
    <w:rsid w:val="009917BB"/>
    <w:rsid w:val="00994FFB"/>
    <w:rsid w:val="009A258F"/>
    <w:rsid w:val="009A32B1"/>
    <w:rsid w:val="009C4C89"/>
    <w:rsid w:val="009D1F51"/>
    <w:rsid w:val="009E4392"/>
    <w:rsid w:val="009E74BA"/>
    <w:rsid w:val="009F0992"/>
    <w:rsid w:val="00A16D99"/>
    <w:rsid w:val="00A254E3"/>
    <w:rsid w:val="00A27482"/>
    <w:rsid w:val="00A449C8"/>
    <w:rsid w:val="00A545EE"/>
    <w:rsid w:val="00A71574"/>
    <w:rsid w:val="00A91B89"/>
    <w:rsid w:val="00AD00AA"/>
    <w:rsid w:val="00AE4D6C"/>
    <w:rsid w:val="00AE500B"/>
    <w:rsid w:val="00AF0FF1"/>
    <w:rsid w:val="00B06C74"/>
    <w:rsid w:val="00B107A9"/>
    <w:rsid w:val="00B15DF8"/>
    <w:rsid w:val="00B24F69"/>
    <w:rsid w:val="00B33511"/>
    <w:rsid w:val="00B627DB"/>
    <w:rsid w:val="00B62B47"/>
    <w:rsid w:val="00B64FF3"/>
    <w:rsid w:val="00B657B0"/>
    <w:rsid w:val="00B70202"/>
    <w:rsid w:val="00BA7803"/>
    <w:rsid w:val="00C0040B"/>
    <w:rsid w:val="00C04FC3"/>
    <w:rsid w:val="00C16915"/>
    <w:rsid w:val="00C209E2"/>
    <w:rsid w:val="00C20D40"/>
    <w:rsid w:val="00C238A8"/>
    <w:rsid w:val="00C257AE"/>
    <w:rsid w:val="00C26004"/>
    <w:rsid w:val="00C37478"/>
    <w:rsid w:val="00C45856"/>
    <w:rsid w:val="00C52857"/>
    <w:rsid w:val="00C65E40"/>
    <w:rsid w:val="00C72899"/>
    <w:rsid w:val="00C75B64"/>
    <w:rsid w:val="00C83AC2"/>
    <w:rsid w:val="00CC55AA"/>
    <w:rsid w:val="00CD6CD2"/>
    <w:rsid w:val="00CF51C7"/>
    <w:rsid w:val="00D0144B"/>
    <w:rsid w:val="00D5458C"/>
    <w:rsid w:val="00D630DC"/>
    <w:rsid w:val="00D65D44"/>
    <w:rsid w:val="00D73AE9"/>
    <w:rsid w:val="00D87363"/>
    <w:rsid w:val="00D91FCD"/>
    <w:rsid w:val="00D94D33"/>
    <w:rsid w:val="00DB10EA"/>
    <w:rsid w:val="00DC6E94"/>
    <w:rsid w:val="00DC7F6C"/>
    <w:rsid w:val="00DD145A"/>
    <w:rsid w:val="00DE6495"/>
    <w:rsid w:val="00E82F26"/>
    <w:rsid w:val="00E918A6"/>
    <w:rsid w:val="00E96FA5"/>
    <w:rsid w:val="00EA768B"/>
    <w:rsid w:val="00EC482F"/>
    <w:rsid w:val="00EC7267"/>
    <w:rsid w:val="00EF06DF"/>
    <w:rsid w:val="00EF4140"/>
    <w:rsid w:val="00F01560"/>
    <w:rsid w:val="00F02497"/>
    <w:rsid w:val="00F11259"/>
    <w:rsid w:val="00F12BDC"/>
    <w:rsid w:val="00F170C0"/>
    <w:rsid w:val="00F606F4"/>
    <w:rsid w:val="00F94E03"/>
    <w:rsid w:val="00FA16E2"/>
    <w:rsid w:val="00FB0409"/>
    <w:rsid w:val="00FB0476"/>
    <w:rsid w:val="00FB3C0B"/>
    <w:rsid w:val="00FC19A3"/>
    <w:rsid w:val="00FE522C"/>
    <w:rsid w:val="00FF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AD4F0"/>
  <w15:chartTrackingRefBased/>
  <w15:docId w15:val="{2F2ADDF3-2EC1-408C-A138-BE068D19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4A9"/>
    <w:pPr>
      <w:spacing w:after="0" w:line="240" w:lineRule="auto"/>
    </w:pPr>
    <w:rPr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4A9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4078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44A9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5407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44A9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54078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44A9"/>
    <w:pPr>
      <w:keepNext/>
      <w:keepLines/>
      <w:spacing w:before="40"/>
      <w:outlineLvl w:val="3"/>
    </w:pPr>
    <w:rPr>
      <w:rFonts w:ascii="Calibri" w:eastAsiaTheme="majorEastAsia" w:hAnsi="Calibri" w:cstheme="majorBidi"/>
      <w:b/>
      <w:iCs/>
      <w:color w:val="05407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44A9"/>
    <w:pPr>
      <w:keepNext/>
      <w:keepLines/>
      <w:spacing w:before="40"/>
      <w:outlineLvl w:val="4"/>
    </w:pPr>
    <w:rPr>
      <w:rFonts w:ascii="Calibri" w:eastAsiaTheme="majorEastAsia" w:hAnsi="Calibri" w:cstheme="majorBidi"/>
      <w:color w:val="05407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44A9"/>
    <w:pPr>
      <w:keepNext/>
      <w:keepLines/>
      <w:spacing w:before="40"/>
      <w:outlineLvl w:val="5"/>
    </w:pPr>
    <w:rPr>
      <w:rFonts w:ascii="Calibri" w:eastAsiaTheme="majorEastAsia" w:hAnsi="Calibri" w:cstheme="majorBidi"/>
      <w:color w:val="0540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44A9"/>
    <w:pPr>
      <w:keepNext/>
      <w:keepLines/>
      <w:spacing w:before="40"/>
      <w:outlineLvl w:val="6"/>
    </w:pPr>
    <w:rPr>
      <w:rFonts w:ascii="Calibri" w:eastAsiaTheme="majorEastAsia" w:hAnsi="Calibri" w:cstheme="majorBidi"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4A9"/>
    <w:rPr>
      <w:rFonts w:ascii="Calibri" w:eastAsiaTheme="majorEastAsia" w:hAnsi="Calibri" w:cstheme="majorBidi"/>
      <w:b/>
      <w:color w:val="054078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7844A9"/>
    <w:rPr>
      <w:rFonts w:ascii="Calibri" w:eastAsiaTheme="majorEastAsia" w:hAnsi="Calibri" w:cstheme="majorBidi"/>
      <w:b/>
      <w:color w:val="054078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844A9"/>
    <w:rPr>
      <w:rFonts w:ascii="Calibri" w:eastAsiaTheme="majorEastAsia" w:hAnsi="Calibri" w:cstheme="majorBidi"/>
      <w:b/>
      <w:color w:val="054078"/>
      <w:sz w:val="28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7844A9"/>
    <w:rPr>
      <w:rFonts w:ascii="Calibri" w:eastAsiaTheme="majorEastAsia" w:hAnsi="Calibri" w:cstheme="majorBidi"/>
      <w:b/>
      <w:iCs/>
      <w:color w:val="054078"/>
      <w:sz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7844A9"/>
    <w:rPr>
      <w:rFonts w:ascii="Calibri" w:eastAsiaTheme="majorEastAsia" w:hAnsi="Calibri" w:cstheme="majorBidi"/>
      <w:color w:val="054078"/>
      <w:sz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7844A9"/>
    <w:rPr>
      <w:rFonts w:ascii="Calibri" w:eastAsiaTheme="majorEastAsia" w:hAnsi="Calibri" w:cstheme="majorBidi"/>
      <w:color w:val="054078"/>
      <w:sz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7844A9"/>
    <w:rPr>
      <w:rFonts w:ascii="Calibri" w:eastAsiaTheme="majorEastAsia" w:hAnsi="Calibri" w:cstheme="majorBidi"/>
      <w:iCs/>
      <w:color w:val="1F3763" w:themeColor="accent1" w:themeShade="7F"/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7844A9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44A9"/>
  </w:style>
  <w:style w:type="character" w:customStyle="1" w:styleId="HeaderChar">
    <w:name w:val="Header Char"/>
    <w:basedOn w:val="DefaultParagraphFont"/>
    <w:link w:val="Header"/>
    <w:uiPriority w:val="99"/>
    <w:rsid w:val="007844A9"/>
    <w:rPr>
      <w:sz w:val="24"/>
      <w:lang w:val="en-US"/>
    </w:rPr>
  </w:style>
  <w:style w:type="paragraph" w:styleId="NoSpacing">
    <w:name w:val="No Spacing"/>
    <w:uiPriority w:val="1"/>
    <w:qFormat/>
    <w:rsid w:val="007844A9"/>
    <w:pPr>
      <w:spacing w:after="0" w:line="240" w:lineRule="auto"/>
    </w:pPr>
    <w:rPr>
      <w:sz w:val="24"/>
      <w:lang w:val="en-US"/>
    </w:rPr>
  </w:style>
  <w:style w:type="paragraph" w:customStyle="1" w:styleId="Bullettext">
    <w:name w:val="Bullet text"/>
    <w:basedOn w:val="Normal"/>
    <w:next w:val="Normal"/>
    <w:qFormat/>
    <w:rsid w:val="00C52857"/>
    <w:pPr>
      <w:numPr>
        <w:numId w:val="1"/>
      </w:numPr>
      <w:spacing w:before="160" w:after="16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paragraph" w:customStyle="1" w:styleId="MainText">
    <w:name w:val="Main Text"/>
    <w:basedOn w:val="Normal"/>
    <w:link w:val="MainTextChar"/>
    <w:qFormat/>
    <w:rsid w:val="007844A9"/>
    <w:pPr>
      <w:spacing w:after="240"/>
    </w:pPr>
    <w:rPr>
      <w:rFonts w:ascii="Calibri" w:eastAsiaTheme="minorEastAsia" w:hAnsi="Calibri" w:cs="Arial"/>
      <w:color w:val="000000" w:themeColor="text1"/>
      <w:szCs w:val="20"/>
      <w:lang w:val="en-GB"/>
    </w:rPr>
  </w:style>
  <w:style w:type="character" w:customStyle="1" w:styleId="MainTextChar">
    <w:name w:val="Main Text Char"/>
    <w:basedOn w:val="DefaultParagraphFont"/>
    <w:link w:val="MainText"/>
    <w:rsid w:val="007844A9"/>
    <w:rPr>
      <w:rFonts w:ascii="Calibri" w:eastAsiaTheme="minorEastAsia" w:hAnsi="Calibri" w:cs="Arial"/>
      <w:color w:val="000000" w:themeColor="text1"/>
      <w:sz w:val="24"/>
      <w:szCs w:val="20"/>
    </w:rPr>
  </w:style>
  <w:style w:type="paragraph" w:customStyle="1" w:styleId="Boldemphasis">
    <w:name w:val="Bold emphasis"/>
    <w:basedOn w:val="MainText"/>
    <w:link w:val="BoldemphasisChar"/>
    <w:qFormat/>
    <w:rsid w:val="007844A9"/>
    <w:rPr>
      <w:rFonts w:cstheme="majorHAnsi"/>
      <w:b/>
      <w:bCs/>
      <w:color w:val="054078"/>
    </w:rPr>
  </w:style>
  <w:style w:type="character" w:customStyle="1" w:styleId="BoldemphasisChar">
    <w:name w:val="Bold emphasis Char"/>
    <w:basedOn w:val="MainTextChar"/>
    <w:link w:val="Boldemphasis"/>
    <w:rsid w:val="007844A9"/>
    <w:rPr>
      <w:rFonts w:ascii="Calibri" w:eastAsiaTheme="minorEastAsia" w:hAnsi="Calibri" w:cstheme="majorHAnsi"/>
      <w:b/>
      <w:bCs/>
      <w:color w:val="05407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03DDD"/>
    <w:pPr>
      <w:contextualSpacing/>
    </w:pPr>
    <w:rPr>
      <w:rFonts w:ascii="Calibri" w:eastAsiaTheme="majorEastAsia" w:hAnsi="Calibri" w:cstheme="majorBidi"/>
      <w:b/>
      <w:color w:val="05407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DD"/>
    <w:rPr>
      <w:rFonts w:ascii="Calibri" w:eastAsiaTheme="majorEastAsia" w:hAnsi="Calibri" w:cstheme="majorBidi"/>
      <w:b/>
      <w:color w:val="054078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DDD"/>
    <w:pPr>
      <w:numPr>
        <w:ilvl w:val="1"/>
      </w:numPr>
      <w:spacing w:after="160"/>
    </w:pPr>
    <w:rPr>
      <w:rFonts w:eastAsiaTheme="minorEastAsia"/>
      <w:b/>
      <w:color w:val="054078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DDD"/>
    <w:rPr>
      <w:rFonts w:eastAsiaTheme="minorEastAsia"/>
      <w:b/>
      <w:color w:val="054078"/>
      <w:spacing w:val="15"/>
      <w:sz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C04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447"/>
    <w:rPr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92A3F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E96FA5"/>
    <w:rPr>
      <w:i/>
      <w:iCs/>
      <w:color w:val="05407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A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0540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A5"/>
    <w:rPr>
      <w:i/>
      <w:iCs/>
      <w:color w:val="054078"/>
      <w:sz w:val="24"/>
      <w:lang w:val="en-US"/>
    </w:rPr>
  </w:style>
  <w:style w:type="character" w:styleId="IntenseReference">
    <w:name w:val="Intense Reference"/>
    <w:basedOn w:val="DefaultParagraphFont"/>
    <w:uiPriority w:val="32"/>
    <w:qFormat/>
    <w:rsid w:val="00E96FA5"/>
    <w:rPr>
      <w:b/>
      <w:bCs/>
      <w:smallCaps/>
      <w:color w:val="054078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6D4605"/>
    <w:pPr>
      <w:spacing w:after="80"/>
    </w:pPr>
    <w:rPr>
      <w:rFonts w:ascii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4605"/>
    <w:rPr>
      <w:rFonts w:ascii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  <w:rsid w:val="006D4605"/>
    <w:pPr>
      <w:numPr>
        <w:numId w:val="10"/>
      </w:numPr>
      <w:spacing w:after="160" w:line="256" w:lineRule="auto"/>
      <w:contextualSpacing/>
    </w:pPr>
    <w:rPr>
      <w:rFonts w:ascii="Calibri" w:hAnsi="Calibri"/>
      <w:lang w:val="en-GB"/>
    </w:rPr>
  </w:style>
  <w:style w:type="paragraph" w:customStyle="1" w:styleId="Header3">
    <w:name w:val="Header 3"/>
    <w:basedOn w:val="Normal"/>
    <w:qFormat/>
    <w:rsid w:val="00C52857"/>
    <w:pPr>
      <w:keepNext/>
      <w:keepLines/>
      <w:spacing w:before="40" w:after="40"/>
      <w:outlineLvl w:val="2"/>
    </w:pPr>
    <w:rPr>
      <w:rFonts w:ascii="Calibri" w:eastAsia="Times New Roman" w:hAnsi="Calibri" w:cs="Times New Roman"/>
      <w:b/>
      <w:color w:val="054078"/>
      <w:sz w:val="28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D4605"/>
    <w:rPr>
      <w:sz w:val="16"/>
      <w:szCs w:val="16"/>
    </w:rPr>
  </w:style>
  <w:style w:type="table" w:styleId="TableGrid">
    <w:name w:val="Table Grid"/>
    <w:basedOn w:val="TableNormal"/>
    <w:uiPriority w:val="59"/>
    <w:rsid w:val="001536C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308"/>
    <w:pPr>
      <w:spacing w:after="0"/>
    </w:pPr>
    <w:rPr>
      <w:rFonts w:asciiTheme="minorHAnsi" w:hAnsiTheme="minorHAns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308"/>
    <w:rPr>
      <w:rFonts w:ascii="Calibri" w:hAnsi="Calibri"/>
      <w:b/>
      <w:bCs/>
      <w:sz w:val="20"/>
      <w:szCs w:val="20"/>
      <w:lang w:val="en-US"/>
    </w:rPr>
  </w:style>
  <w:style w:type="paragraph" w:customStyle="1" w:styleId="Default">
    <w:name w:val="Default"/>
    <w:rsid w:val="00C728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se.gov.uk/leadership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health-and-safety-advice-for-schools/responsibilities-and-duties-for-school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health-and-safety-advice-for-schools/responsibilities-and-duties-for-schools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gov.uk/government/publications/emergency-planning-and-response-for-education-childcare-and-childrens-social-care-setting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ga.org.uk/Knowledge-Centre/Good-governance/Effective-governance/Monitoring-and-evaluation/NGA-Guidance-on-school-visits.asp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www.nga.org.uk/Knowledge-Centre/Governance-structure-roles-and-responsibilities/Academy-trusts/Scheme-of-delegation.aspx" TargetMode="External"/><Relationship Id="rId19" Type="http://schemas.openxmlformats.org/officeDocument/2006/relationships/hyperlink" Target="https://www.gov.uk/government/publications/health-and-safety-advice-for-schools/responsibilities-and-duties-for-schoo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app.uk.sheassure.net/southwarkcouncil/p/0JK24A7D12/documents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460EB17D79B4CB04045BE8EDFB88B" ma:contentTypeVersion="12" ma:contentTypeDescription="Create a new document." ma:contentTypeScope="" ma:versionID="a29aa9ef9bf1c6a04345f9b8c1b9e72c">
  <xsd:schema xmlns:xsd="http://www.w3.org/2001/XMLSchema" xmlns:xs="http://www.w3.org/2001/XMLSchema" xmlns:p="http://schemas.microsoft.com/office/2006/metadata/properties" xmlns:ns2="8ba10463-5e59-4b37-996c-f42fb298e9a9" xmlns:ns3="abafda70-30e8-4089-8443-ebe9741ee9b5" targetNamespace="http://schemas.microsoft.com/office/2006/metadata/properties" ma:root="true" ma:fieldsID="8cdc9f852e4c7d2078604c9dd20a673a" ns2:_="" ns3:_="">
    <xsd:import namespace="8ba10463-5e59-4b37-996c-f42fb298e9a9"/>
    <xsd:import namespace="abafda70-30e8-4089-8443-ebe9741ee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10463-5e59-4b37-996c-f42fb298e9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fda70-30e8-4089-8443-ebe9741ee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A8EC2-2F91-4216-AE1F-FA11B378E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10463-5e59-4b37-996c-f42fb298e9a9"/>
    <ds:schemaRef ds:uri="abafda70-30e8-4089-8443-ebe9741ee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D31F6-0DEA-45ED-A048-F76DB79471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D7F63-3EA8-4C76-A7D2-A8F9C441A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564</Words>
  <Characters>3063</Characters>
  <Application>Microsoft Office Word</Application>
  <DocSecurity>2</DocSecurity>
  <Lines>133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NGA Knowledge Centre Info Sheet</vt:lpstr>
    </vt:vector>
  </TitlesOfParts>
  <Company/>
  <LinksUpToDate>false</LinksUpToDate>
  <CharactersWithSpaces>3579</CharactersWithSpaces>
  <SharedDoc>false</SharedDoc>
  <HLinks>
    <vt:vector size="48" baseType="variant">
      <vt:variant>
        <vt:i4>7012403</vt:i4>
      </vt:variant>
      <vt:variant>
        <vt:i4>21</vt:i4>
      </vt:variant>
      <vt:variant>
        <vt:i4>0</vt:i4>
      </vt:variant>
      <vt:variant>
        <vt:i4>5</vt:i4>
      </vt:variant>
      <vt:variant>
        <vt:lpwstr>https://www.gov.uk/government/publications/health-and-safety-advice-for-schools/responsibilities-and-duties-for-schools</vt:lpwstr>
      </vt:variant>
      <vt:variant>
        <vt:lpwstr>assessing-and-managing-risks</vt:lpwstr>
      </vt:variant>
      <vt:variant>
        <vt:i4>655445</vt:i4>
      </vt:variant>
      <vt:variant>
        <vt:i4>18</vt:i4>
      </vt:variant>
      <vt:variant>
        <vt:i4>0</vt:i4>
      </vt:variant>
      <vt:variant>
        <vt:i4>5</vt:i4>
      </vt:variant>
      <vt:variant>
        <vt:lpwstr>https://www.gov.uk/government/publications/emergency-planning-and-response-for-education-childcare-and-childrens-social-care-settings</vt:lpwstr>
      </vt:variant>
      <vt:variant>
        <vt:lpwstr/>
      </vt:variant>
      <vt:variant>
        <vt:i4>5636182</vt:i4>
      </vt:variant>
      <vt:variant>
        <vt:i4>15</vt:i4>
      </vt:variant>
      <vt:variant>
        <vt:i4>0</vt:i4>
      </vt:variant>
      <vt:variant>
        <vt:i4>5</vt:i4>
      </vt:variant>
      <vt:variant>
        <vt:lpwstr>https://www.gov.uk/government/publications/health-and-safety-advice-for-schools/responsibilities-and-duties-for-schools</vt:lpwstr>
      </vt:variant>
      <vt:variant>
        <vt:lpwstr>elements-of-a-health-and-safety-policy</vt:lpwstr>
      </vt:variant>
      <vt:variant>
        <vt:i4>3473488</vt:i4>
      </vt:variant>
      <vt:variant>
        <vt:i4>12</vt:i4>
      </vt:variant>
      <vt:variant>
        <vt:i4>0</vt:i4>
      </vt:variant>
      <vt:variant>
        <vt:i4>5</vt:i4>
      </vt:variant>
      <vt:variant>
        <vt:lpwstr>mailto:kcfeedback@nga.org.uk</vt:lpwstr>
      </vt:variant>
      <vt:variant>
        <vt:lpwstr/>
      </vt:variant>
      <vt:variant>
        <vt:i4>3670135</vt:i4>
      </vt:variant>
      <vt:variant>
        <vt:i4>9</vt:i4>
      </vt:variant>
      <vt:variant>
        <vt:i4>0</vt:i4>
      </vt:variant>
      <vt:variant>
        <vt:i4>5</vt:i4>
      </vt:variant>
      <vt:variant>
        <vt:lpwstr>/Knowledge-Centre/Governance-structure-roles-and-responsibilities/Academy-trusts/Scheme-of-delegation.aspx</vt:lpwstr>
      </vt:variant>
      <vt:variant>
        <vt:lpwstr/>
      </vt:variant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https://www.hse.gov.uk/leadership/</vt:lpwstr>
      </vt:variant>
      <vt:variant>
        <vt:lpwstr/>
      </vt:variant>
      <vt:variant>
        <vt:i4>7471228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https://www.gov.uk/government/publications/health-and-safety-advice-for-schools/responsibilities-and-duties-for-schools</vt:lpwstr>
      </vt:variant>
      <vt:variant>
        <vt:lpwstr/>
      </vt:variant>
      <vt:variant>
        <vt:i4>720974</vt:i4>
      </vt:variant>
      <vt:variant>
        <vt:i4>0</vt:i4>
      </vt:variant>
      <vt:variant>
        <vt:i4>0</vt:i4>
      </vt:variant>
      <vt:variant>
        <vt:i4>5</vt:i4>
      </vt:variant>
      <vt:variant>
        <vt:lpwstr>https://www.nga.org.uk/Knowledge-Centre/Good-governance/Effective-governance/Monitoring-and-evaluation/NGA-Guidance-on-school-visits.aspx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NGA Health and Safety checklist</dc:title>
  <dc:subject/>
  <dc:creator>National Governance Association</dc:creator>
  <cp:keywords/>
  <dc:description/>
  <cp:lastModifiedBy>McClure, Selina</cp:lastModifiedBy>
  <cp:revision>3</cp:revision>
  <cp:lastPrinted>2022-05-25T12:24:00Z</cp:lastPrinted>
  <dcterms:created xsi:type="dcterms:W3CDTF">2022-05-26T08:46:00Z</dcterms:created>
  <dcterms:modified xsi:type="dcterms:W3CDTF">2025-10-15T09:15:00Z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0x010100D3C460EB17D79B4CB04045BE8EDFB88B</vt:lpwstr>
  </property>
  <property fmtid="{D5CDD505-2E9C-101B-9397-08002B2CF9AE}" pid="3" name="Order">
    <vt:r8>30600</vt:r8>
  </property>
</Properties>
</file>