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FD3" w:rsidP="003476A4" w:rsidRDefault="00E24FD3" w14:paraId="794B3C23" w14:textId="6EBA40F3"/>
    <w:p w:rsidR="00C172BE" w:rsidP="003476A4" w:rsidRDefault="00C172BE" w14:paraId="3698E02E" w14:textId="6194BC6C"/>
    <w:p w:rsidR="1ACEE63A" w:rsidP="735F833C" w:rsidRDefault="25650E69" w14:paraId="62135713" w14:textId="6EA2E5B0">
      <w:pPr>
        <w:pStyle w:val="Heading1"/>
      </w:pPr>
      <w:r>
        <w:t>Part</w:t>
      </w:r>
      <w:r w:rsidR="66ECEFF0">
        <w:t>-</w:t>
      </w:r>
      <w:r>
        <w:t>time Timetables</w:t>
      </w:r>
      <w:r w:rsidR="38624DD2">
        <w:t xml:space="preserve"> Guidance</w:t>
      </w:r>
      <w:r w:rsidR="322DB3FF">
        <w:t xml:space="preserve"> </w:t>
      </w:r>
    </w:p>
    <w:p w:rsidR="36A77CBE" w:rsidP="132E3201" w:rsidRDefault="25D86F18" w14:paraId="1FA59C6A" w14:textId="44D4DB05">
      <w:pPr>
        <w:rPr>
          <w:rFonts w:ascii="Arial" w:hAnsi="Arial" w:eastAsia="Arial" w:cs="Arial"/>
        </w:rPr>
      </w:pPr>
      <w:r>
        <w:t xml:space="preserve">This document sets out the statutory expectation in relation to part-time timetables. It will identify the exceptional circumstances where it may be appropriate for children and young people to have a </w:t>
      </w:r>
      <w:r w:rsidR="0089DB2F">
        <w:t>part</w:t>
      </w:r>
      <w:r w:rsidR="7C90BD07">
        <w:t>-</w:t>
      </w:r>
      <w:r w:rsidR="0089DB2F">
        <w:t>time timetable</w:t>
      </w:r>
      <w:r>
        <w:t xml:space="preserve">.  </w:t>
      </w:r>
      <w:r w:rsidR="32D0D5B4">
        <w:t xml:space="preserve">This guidance is based on the new statutory guidance which was published in August 2024 </w:t>
      </w:r>
      <w:hyperlink r:id="rId11">
        <w:r w:rsidRPr="132E3201" w:rsidR="32D0D5B4">
          <w:rPr>
            <w:rStyle w:val="Hyperlink"/>
            <w:rFonts w:ascii="Arial" w:hAnsi="Arial" w:eastAsia="Arial" w:cs="Arial"/>
          </w:rPr>
          <w:t>Working together to improve school attendance (applies from 19 August 2024) (publishing.service.gov.uk)</w:t>
        </w:r>
      </w:hyperlink>
    </w:p>
    <w:p w:rsidR="36A77CBE" w:rsidP="21707A77" w:rsidRDefault="36A77CBE" w14:paraId="032133B2" w14:textId="602C0370">
      <w:r>
        <w:t>Children and young people of compulsory school age have a legal right to receive full-time educational provision, this should be suitable to their age, aptitude and any special educational needs they may have. Children with additional needs have the right to access the same opportunities and hours as the other children.</w:t>
      </w:r>
    </w:p>
    <w:p w:rsidR="4032057A" w:rsidRDefault="4032057A" w14:paraId="35CF2F24" w14:textId="3D265663">
      <w:r>
        <w:t>It is clear there is only one point of entry for children and only parents have the right to choose not to enter at the point of entry and therefore in Reception it would be deemed this guidance would be followed eve</w:t>
      </w:r>
      <w:r w:rsidR="55FF8EF9">
        <w:t xml:space="preserve">n if the child is not 5 years old. </w:t>
      </w:r>
    </w:p>
    <w:p w:rsidR="21707A77" w:rsidP="21707A77" w:rsidRDefault="243C56FE" w14:paraId="10768018" w14:textId="7C22F9E2">
      <w:r>
        <w:t xml:space="preserve">When considering a </w:t>
      </w:r>
      <w:r w:rsidR="52982885">
        <w:t>part-time</w:t>
      </w:r>
      <w:r>
        <w:t xml:space="preserve"> timetable for a child, you must speak with your Inclusion and SEND consultant and have their approval before reducing any hours.   </w:t>
      </w:r>
    </w:p>
    <w:p w:rsidR="24F718C3" w:rsidP="21707A77" w:rsidRDefault="24F718C3" w14:paraId="60EF08A3" w14:textId="027D3CA2">
      <w:pPr>
        <w:pStyle w:val="Heading3"/>
      </w:pPr>
      <w:r>
        <w:t>Statutory hours of education</w:t>
      </w:r>
    </w:p>
    <w:tbl>
      <w:tblPr>
        <w:tblW w:w="0" w:type="auto"/>
        <w:tblInd w:w="-5" w:type="dxa"/>
        <w:tblLook w:val="0000" w:firstRow="0" w:lastRow="0" w:firstColumn="0" w:lastColumn="0" w:noHBand="0" w:noVBand="0"/>
      </w:tblPr>
      <w:tblGrid>
        <w:gridCol w:w="3127"/>
        <w:gridCol w:w="3705"/>
        <w:gridCol w:w="3704"/>
      </w:tblGrid>
      <w:tr w:rsidR="21707A77" w:rsidTr="21707A77" w14:paraId="347EEBA1" w14:textId="77777777">
        <w:trPr>
          <w:trHeight w:val="690"/>
        </w:trPr>
        <w:tc>
          <w:tcPr>
            <w:tcW w:w="3129"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503396FD" w:rsidP="21707A77" w:rsidRDefault="503396FD" w14:paraId="532246A2" w14:textId="7952E7E0">
            <w:pPr>
              <w:rPr>
                <w:rFonts w:ascii="Arial" w:hAnsi="Arial" w:cs="Arial"/>
                <w:b/>
                <w:bCs/>
              </w:rPr>
            </w:pPr>
            <w:r w:rsidRPr="21707A77">
              <w:rPr>
                <w:rFonts w:ascii="Arial" w:hAnsi="Arial" w:cs="Arial"/>
                <w:b/>
                <w:bCs/>
              </w:rPr>
              <w:t>Key Stage</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503396FD" w:rsidP="21707A77" w:rsidRDefault="503396FD" w14:paraId="706D4BC8" w14:textId="6A0148D5">
            <w:pPr>
              <w:rPr>
                <w:rFonts w:ascii="Arial" w:hAnsi="Arial" w:cs="Arial"/>
                <w:b/>
                <w:bCs/>
              </w:rPr>
            </w:pPr>
            <w:r w:rsidRPr="21707A77">
              <w:rPr>
                <w:rFonts w:ascii="Arial" w:hAnsi="Arial" w:cs="Arial"/>
                <w:b/>
                <w:bCs/>
              </w:rPr>
              <w:t>Year Group</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503396FD" w:rsidP="21707A77" w:rsidRDefault="503396FD" w14:paraId="024AAC81" w14:textId="33EC4B39">
            <w:pPr>
              <w:rPr>
                <w:rFonts w:ascii="Arial" w:hAnsi="Arial" w:cs="Arial"/>
                <w:b/>
                <w:bCs/>
              </w:rPr>
            </w:pPr>
            <w:r w:rsidRPr="21707A77">
              <w:rPr>
                <w:rFonts w:ascii="Arial" w:hAnsi="Arial" w:cs="Arial"/>
                <w:b/>
                <w:bCs/>
              </w:rPr>
              <w:t>Hours</w:t>
            </w:r>
          </w:p>
        </w:tc>
      </w:tr>
      <w:tr w:rsidR="21707A77" w:rsidTr="21707A77" w14:paraId="62845F38" w14:textId="77777777">
        <w:trPr>
          <w:trHeight w:val="60"/>
        </w:trPr>
        <w:tc>
          <w:tcPr>
            <w:tcW w:w="3129"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77F31132" w14:textId="59F8619C">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 xml:space="preserve">Foundation </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6BC32ADA" w14:textId="6CC44576">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Reception</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41CE570A" w14:textId="3531DA06">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21 hours</w:t>
            </w:r>
          </w:p>
        </w:tc>
      </w:tr>
      <w:tr w:rsidR="21707A77" w:rsidTr="21707A77" w14:paraId="3386A58C" w14:textId="77777777">
        <w:trPr>
          <w:trHeight w:val="60"/>
        </w:trPr>
        <w:tc>
          <w:tcPr>
            <w:tcW w:w="3129"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0F9BDC79" w14:textId="4BCA151E">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Key Stage 1</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6E8D4609" w14:textId="7418C068">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Year 1 and 2</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250349D4" w14:textId="4102D913">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21 hours</w:t>
            </w:r>
          </w:p>
        </w:tc>
      </w:tr>
      <w:tr w:rsidR="21707A77" w:rsidTr="21707A77" w14:paraId="2E4CF454" w14:textId="77777777">
        <w:trPr>
          <w:trHeight w:val="60"/>
        </w:trPr>
        <w:tc>
          <w:tcPr>
            <w:tcW w:w="3129"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735C52E9" w14:textId="1ADB5E9D">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Key Stage 2</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1DE597D8" w14:textId="1311A9F8">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Year 3, 4, 5 and 6</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7FDE33E8" w14:textId="49C4EE61">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23.5 hours</w:t>
            </w:r>
          </w:p>
        </w:tc>
      </w:tr>
      <w:tr w:rsidR="21707A77" w:rsidTr="21707A77" w14:paraId="3BADDA5F" w14:textId="77777777">
        <w:trPr>
          <w:trHeight w:val="60"/>
        </w:trPr>
        <w:tc>
          <w:tcPr>
            <w:tcW w:w="3129"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753A9366" w14:textId="252BB514">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lastRenderedPageBreak/>
              <w:t>Key Stage 3</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15390230" w14:textId="53539B47">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Year 7, 8 and 9</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587EA855" w14:textId="1F2E91F4">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24 hours</w:t>
            </w:r>
          </w:p>
        </w:tc>
      </w:tr>
      <w:tr w:rsidR="21707A77" w:rsidTr="21707A77" w14:paraId="41438475" w14:textId="77777777">
        <w:trPr>
          <w:trHeight w:val="60"/>
        </w:trPr>
        <w:tc>
          <w:tcPr>
            <w:tcW w:w="3129"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0DD880DE" w14:textId="4B7D2A3C">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Key Stage 4</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54C33474" w14:textId="20A0AD02">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Year 10 and 11</w:t>
            </w:r>
          </w:p>
        </w:tc>
        <w:tc>
          <w:tcPr>
            <w:tcW w:w="3708" w:type="dxa"/>
            <w:tcBorders>
              <w:top w:val="single" w:color="000000" w:themeColor="text2" w:sz="4" w:space="0"/>
              <w:left w:val="single" w:color="000000" w:themeColor="text2" w:sz="4" w:space="0"/>
              <w:bottom w:val="single" w:color="000000" w:themeColor="text2" w:sz="4" w:space="0"/>
              <w:right w:val="single" w:color="000000" w:themeColor="text2" w:sz="4" w:space="0"/>
            </w:tcBorders>
            <w:tcMar>
              <w:top w:w="170" w:type="dxa"/>
              <w:left w:w="170" w:type="dxa"/>
              <w:bottom w:w="170" w:type="dxa"/>
              <w:right w:w="170" w:type="dxa"/>
            </w:tcMar>
          </w:tcPr>
          <w:p w:rsidR="21707A77" w:rsidP="21707A77" w:rsidRDefault="21707A77" w14:paraId="015EB87C" w14:textId="1F7FA38C">
            <w:pPr>
              <w:spacing w:line="279" w:lineRule="auto"/>
              <w:rPr>
                <w:rFonts w:ascii="Aptos" w:hAnsi="Aptos" w:eastAsia="Aptos" w:cs="Aptos"/>
                <w:color w:val="000000" w:themeColor="text2"/>
              </w:rPr>
            </w:pPr>
            <w:r w:rsidRPr="21707A77">
              <w:rPr>
                <w:rFonts w:ascii="Aptos" w:hAnsi="Aptos" w:eastAsia="Aptos" w:cs="Aptos"/>
                <w:color w:val="000000" w:themeColor="text2"/>
                <w:lang w:val="en-US"/>
              </w:rPr>
              <w:t>25 hours</w:t>
            </w:r>
          </w:p>
        </w:tc>
      </w:tr>
    </w:tbl>
    <w:p w:rsidR="2695C439" w:rsidP="21707A77" w:rsidRDefault="276300EB" w14:paraId="063769C3" w14:textId="0405F5EA">
      <w:pPr>
        <w:pStyle w:val="Heading3"/>
      </w:pPr>
      <w:r>
        <w:t xml:space="preserve">When can you consider a </w:t>
      </w:r>
      <w:r w:rsidR="5626250D">
        <w:t xml:space="preserve">part-time </w:t>
      </w:r>
      <w:r w:rsidR="132E3201">
        <w:t>t</w:t>
      </w:r>
      <w:r>
        <w:t>imetable?</w:t>
      </w:r>
    </w:p>
    <w:p w:rsidR="2695C439" w:rsidRDefault="2695C439" w14:paraId="54077A61" w14:textId="44328BB7">
      <w:r>
        <w:t xml:space="preserve">Exceptional circumstances are only allowed where it is in the child’s best interest:  </w:t>
      </w:r>
    </w:p>
    <w:p w:rsidR="2695C439" w:rsidP="21707A77" w:rsidRDefault="2695C439" w14:paraId="352ED46F" w14:textId="77C7907C">
      <w:pPr>
        <w:pStyle w:val="Bulletstyle"/>
      </w:pPr>
      <w:r>
        <w:t xml:space="preserve">School support package   </w:t>
      </w:r>
    </w:p>
    <w:p w:rsidR="2695C439" w:rsidP="21707A77" w:rsidRDefault="2695C439" w14:paraId="3E726353" w14:textId="7D52941A">
      <w:pPr>
        <w:pStyle w:val="Bulletstyle"/>
      </w:pPr>
      <w:r>
        <w:t xml:space="preserve">Medical reasons   </w:t>
      </w:r>
    </w:p>
    <w:p w:rsidR="2695C439" w:rsidP="21707A77" w:rsidRDefault="2695C439" w14:paraId="2210322F" w14:textId="70A8A1BF">
      <w:pPr>
        <w:pStyle w:val="Bulletstyle"/>
      </w:pPr>
      <w:r>
        <w:t xml:space="preserve">Reintegration  </w:t>
      </w:r>
    </w:p>
    <w:p w:rsidR="2A646054" w:rsidP="21707A77" w:rsidRDefault="2A646054" w14:paraId="03F42829" w14:textId="41E84CA2">
      <w:pPr>
        <w:pStyle w:val="Heading3"/>
      </w:pPr>
      <w:r>
        <w:t>School support package</w:t>
      </w:r>
    </w:p>
    <w:p w:rsidR="21707A77" w:rsidP="00987CE9" w:rsidRDefault="4E49D297" w14:paraId="2DCCF8EB" w14:textId="226783E7">
      <w:pPr>
        <w:spacing w:before="0" w:after="160" w:line="279" w:lineRule="auto"/>
      </w:pPr>
      <w:r>
        <w:t>Part</w:t>
      </w:r>
      <w:r w:rsidR="0071029C">
        <w:t>-</w:t>
      </w:r>
      <w:r>
        <w:t>time</w:t>
      </w:r>
      <w:r w:rsidR="017A1478">
        <w:t xml:space="preserve"> timetables cannot be used to manage behaviour. It is </w:t>
      </w:r>
      <w:r w:rsidRPr="002F2659" w:rsidR="017A1478">
        <w:rPr>
          <w:b/>
          <w:bCs/>
        </w:rPr>
        <w:t xml:space="preserve">unlawful </w:t>
      </w:r>
      <w:r w:rsidR="017A1478">
        <w:t xml:space="preserve">for schools to discriminate against pupils on the basis of their special educational needs and/or disability.  A pupil should not be put on a part-time timetable because of their special educational need as this may constitute discrimination. However, in exceptional circumstances, such as a family bereavement </w:t>
      </w:r>
      <w:r w:rsidR="5AC7E17F">
        <w:t xml:space="preserve">schools can support children and young people by implementing a </w:t>
      </w:r>
      <w:r w:rsidR="2EE46833">
        <w:t xml:space="preserve">part-time </w:t>
      </w:r>
      <w:r w:rsidR="5AC7E17F">
        <w:t xml:space="preserve">timetable. </w:t>
      </w:r>
    </w:p>
    <w:p w:rsidR="017A1478" w:rsidP="21707A77" w:rsidRDefault="017A1478" w14:paraId="36CE3ABC" w14:textId="34B93CD9">
      <w:pPr>
        <w:pStyle w:val="Heading3"/>
        <w:spacing w:before="0" w:after="160" w:line="279" w:lineRule="auto"/>
      </w:pPr>
      <w:r>
        <w:t>Medical reasons</w:t>
      </w:r>
    </w:p>
    <w:p w:rsidR="017A1478" w:rsidP="21707A77" w:rsidRDefault="017A1478" w14:paraId="5DCE6BF9" w14:textId="2D595FCC">
      <w:pPr>
        <w:spacing w:before="0" w:after="160" w:line="279" w:lineRule="auto"/>
      </w:pPr>
      <w:r>
        <w:t xml:space="preserve">If a pupil has a serious medical condition, where recovery is the priority outcome. These arrangements would be part of a medical plan agreed between the school and health professionals.  Please see </w:t>
      </w:r>
      <w:hyperlink r:id="rId12">
        <w:r w:rsidRPr="21707A77">
          <w:rPr>
            <w:rStyle w:val="Hyperlink"/>
            <w:rFonts w:ascii="Arial" w:hAnsi="Arial" w:eastAsia="Arial" w:cs="Arial"/>
          </w:rPr>
          <w:t>Arranging education for children who cannot attend school because of health needs (publishing.service.gov.uk)</w:t>
        </w:r>
      </w:hyperlink>
      <w:r>
        <w:t xml:space="preserve"> for further guidance. </w:t>
      </w:r>
    </w:p>
    <w:p w:rsidR="017A1478" w:rsidP="21707A77" w:rsidRDefault="017A1478" w14:paraId="0D78B6C1" w14:textId="14298C53">
      <w:pPr>
        <w:spacing w:before="0" w:after="160" w:line="279" w:lineRule="auto"/>
        <w:rPr>
          <w:rFonts w:ascii="Arial" w:hAnsi="Arial" w:eastAsia="Arial" w:cs="Arial"/>
        </w:rPr>
      </w:pPr>
      <w:r>
        <w:t xml:space="preserve">This can include mental health, however schools need to be mindful of the nature of the challenge and should first seek if it can be managed by implementing reasonable adjustments. Guidance specifically can be found </w:t>
      </w:r>
      <w:hyperlink r:id="rId13">
        <w:r w:rsidRPr="21707A77">
          <w:rPr>
            <w:rStyle w:val="Hyperlink"/>
            <w:rFonts w:ascii="Arial" w:hAnsi="Arial" w:eastAsia="Arial" w:cs="Arial"/>
          </w:rPr>
          <w:t>Summary of responsibilities where a mental health issue is affecting attendance (publishing.service.gov.uk)</w:t>
        </w:r>
      </w:hyperlink>
    </w:p>
    <w:p w:rsidR="59CF294E" w:rsidP="21707A77" w:rsidRDefault="00987CE9" w14:paraId="5B2AEB9C" w14:textId="5F93F007">
      <w:pPr>
        <w:pStyle w:val="Heading3"/>
        <w:spacing w:before="0" w:after="160" w:line="279" w:lineRule="auto"/>
      </w:pPr>
      <w:r>
        <w:t>R</w:t>
      </w:r>
      <w:r w:rsidR="59CF294E">
        <w:t xml:space="preserve">eintegration </w:t>
      </w:r>
    </w:p>
    <w:p w:rsidR="21707A77" w:rsidP="21707A77" w:rsidRDefault="59CF294E" w14:paraId="5CABF699" w14:textId="689CA87F">
      <w:pPr>
        <w:spacing w:before="0" w:after="160" w:line="279" w:lineRule="auto"/>
      </w:pPr>
      <w:r>
        <w:t xml:space="preserve">Following an extended period outside of school such as a school exclusion, new to the school or school avoidance it may be beneficial for the child to have a slower transition to reintegrate into school </w:t>
      </w:r>
    </w:p>
    <w:p w:rsidR="59CF294E" w:rsidP="21707A77" w:rsidRDefault="59CF294E" w14:paraId="2870C42C" w14:textId="454FB692">
      <w:pPr>
        <w:pStyle w:val="Heading3"/>
      </w:pPr>
      <w:r>
        <w:lastRenderedPageBreak/>
        <w:t>Process to follow</w:t>
      </w:r>
    </w:p>
    <w:p w:rsidR="59CF294E" w:rsidP="21707A77" w:rsidRDefault="009F38D9" w14:paraId="1F7C693E" w14:textId="5DE915DF">
      <w:pPr>
        <w:pStyle w:val="Bulletstyle"/>
      </w:pPr>
      <w:r>
        <w:t>Must h</w:t>
      </w:r>
      <w:r w:rsidR="59CF294E">
        <w:t xml:space="preserve">ave agreement from the parent the child normally lives with. The meeting must initially be face to face.  </w:t>
      </w:r>
    </w:p>
    <w:p w:rsidR="59CF294E" w:rsidP="21707A77" w:rsidRDefault="59CF294E" w14:paraId="4A6932F0" w14:textId="45509B3C">
      <w:pPr>
        <w:pStyle w:val="Bulletstyle"/>
      </w:pPr>
      <w:r>
        <w:t>Ensure there is a multi-agency approach to include health care professionals, social workers</w:t>
      </w:r>
      <w:r w:rsidR="253FBB3F">
        <w:t>, virtual school</w:t>
      </w:r>
      <w:r>
        <w:t xml:space="preserve">, EHCP coordinators where appropriate. </w:t>
      </w:r>
      <w:r w:rsidR="2D5C5276">
        <w:t xml:space="preserve">Must inform any of professionals involved in the child’s network. </w:t>
      </w:r>
    </w:p>
    <w:p w:rsidR="00983FBA" w:rsidP="404501CA" w:rsidRDefault="00983FBA" w14:paraId="37A656F1" w14:textId="775497EE">
      <w:pPr>
        <w:pStyle w:val="Bulletstyle"/>
      </w:pPr>
      <w:r>
        <w:t xml:space="preserve">Set out clear strategies needed for this to be successful, and how </w:t>
      </w:r>
      <w:r w:rsidR="00EE414A">
        <w:t xml:space="preserve">placing the child on a part-time timetable is in their best interest.  </w:t>
      </w:r>
    </w:p>
    <w:p w:rsidR="59CF294E" w:rsidP="21707A77" w:rsidRDefault="59CF294E" w14:paraId="7BC50AEC" w14:textId="52362FA3">
      <w:pPr>
        <w:pStyle w:val="Bulletstyle"/>
      </w:pPr>
      <w:r>
        <w:t xml:space="preserve">Has a clear reintegration plan </w:t>
      </w:r>
      <w:r w:rsidR="00EA0C2F">
        <w:t>that has an end date</w:t>
      </w:r>
      <w:r w:rsidR="002C458B">
        <w:t xml:space="preserve"> and </w:t>
      </w:r>
      <w:r>
        <w:t xml:space="preserve">stepped-up approach </w:t>
      </w:r>
      <w:r w:rsidR="00EA0C2F">
        <w:t xml:space="preserve">that </w:t>
      </w:r>
      <w:r w:rsidR="00B34745">
        <w:t xml:space="preserve">sets out </w:t>
      </w:r>
      <w:r w:rsidR="00DE7DB1">
        <w:t xml:space="preserve">this </w:t>
      </w:r>
      <w:r>
        <w:t xml:space="preserve">temporary </w:t>
      </w:r>
      <w:r w:rsidR="00DE7DB1">
        <w:t xml:space="preserve">measure of </w:t>
      </w:r>
      <w:r>
        <w:t xml:space="preserve">no longer than 6 weeks (unless deemed as for medical reasons).  </w:t>
      </w:r>
    </w:p>
    <w:p w:rsidR="59CF294E" w:rsidP="21707A77" w:rsidRDefault="59CF294E" w14:paraId="07BB0015" w14:textId="59EC1645">
      <w:pPr>
        <w:pStyle w:val="Bulletstyle"/>
      </w:pPr>
      <w:r>
        <w:t>The plan must set out clear review dates which have both the parent</w:t>
      </w:r>
      <w:r w:rsidR="53221E8A">
        <w:t>/carer</w:t>
      </w:r>
      <w:r>
        <w:t xml:space="preserve">(s) and pupil involved, which show communication log with parents, these should be </w:t>
      </w:r>
      <w:proofErr w:type="gramStart"/>
      <w:r>
        <w:t>face</w:t>
      </w:r>
      <w:proofErr w:type="gramEnd"/>
      <w:r>
        <w:t xml:space="preserve"> to face meetings where possible.  </w:t>
      </w:r>
    </w:p>
    <w:p w:rsidR="38E56687" w:rsidP="132E3201" w:rsidRDefault="38E56687" w14:paraId="7CBFAB50" w14:textId="19F1B6D2">
      <w:pPr>
        <w:pStyle w:val="Bulletstyle"/>
      </w:pPr>
      <w:r>
        <w:t xml:space="preserve">A formal risk assessment of the impact that a reduced timetable would have </w:t>
      </w:r>
      <w:r w:rsidR="3121D7DB">
        <w:t xml:space="preserve">on </w:t>
      </w:r>
      <w:r>
        <w:t>the child must be carried out and agreed.</w:t>
      </w:r>
    </w:p>
    <w:p w:rsidR="21707A77" w:rsidP="21707A77" w:rsidRDefault="21707A77" w14:paraId="7BF9C6FD" w14:textId="46B9A753">
      <w:pPr>
        <w:spacing w:before="0" w:after="160" w:line="279" w:lineRule="auto"/>
      </w:pPr>
    </w:p>
    <w:p w:rsidR="6239388B" w:rsidP="21707A77" w:rsidRDefault="6C66E33F" w14:paraId="55557579" w14:textId="2B88C49F">
      <w:pPr>
        <w:pStyle w:val="Heading3"/>
      </w:pPr>
      <w:r>
        <w:t>Children with an EHCP</w:t>
      </w:r>
    </w:p>
    <w:p w:rsidR="6239388B" w:rsidP="132E3201" w:rsidRDefault="6C66E33F" w14:paraId="3D6A59A1" w14:textId="3995B4DA">
      <w:r>
        <w:t xml:space="preserve">Schools must ensure that the provision specified in the education health and care plan is delivered to meet the child’s needs whilst being on a part-time timetable, so they are receiving their statutory entitlement. Schools must inform EHCP coordinators in writing and include a copy of the transitional timetable as well </w:t>
      </w:r>
      <w:r w:rsidR="08EE38F0">
        <w:t xml:space="preserve">as </w:t>
      </w:r>
      <w:r>
        <w:t>how the school will ensure the plan will be met under these temporary arrangements.</w:t>
      </w:r>
      <w:r w:rsidR="274D7BFB">
        <w:t xml:space="preserve"> If a reduced timetable has been used over the year, there is an expectation that this will be discussed at the CYP’s annual review, including strategies to avoid the need to use a reduced timetable in the future.</w:t>
      </w:r>
    </w:p>
    <w:p w:rsidR="6239388B" w:rsidP="132E3201" w:rsidRDefault="6239388B" w14:paraId="74B7B58A" w14:textId="1F8BA0E0"/>
    <w:p w:rsidR="6239388B" w:rsidP="21707A77" w:rsidRDefault="1B062906" w14:paraId="1AB2C298" w14:textId="08A2A3A8">
      <w:pPr>
        <w:pStyle w:val="Heading3"/>
      </w:pPr>
      <w:r>
        <w:t>Safeguarding</w:t>
      </w:r>
    </w:p>
    <w:p w:rsidR="00740DF2" w:rsidP="003476A4" w:rsidRDefault="1B062906" w14:paraId="71A942AD" w14:textId="05AB1CA2">
      <w:r>
        <w:t xml:space="preserve">Schools are still responsible for the welfare of their pupils who are on roll when they are off site during school hours. Schools must consider the safety and wellbeing of the child. Schools will need to consider any safeguarding concerns that a </w:t>
      </w:r>
      <w:r w:rsidR="14FC96DF">
        <w:t xml:space="preserve">part-time </w:t>
      </w:r>
      <w:r>
        <w:t xml:space="preserve">timetable may pose on the child. </w:t>
      </w:r>
      <w:r w:rsidR="5BAE5A5D">
        <w:t>Where a child or young person has a social worker, school must inform the social worker or social care practitioner. I</w:t>
      </w:r>
      <w:r w:rsidR="41CA9CD6">
        <w:t xml:space="preserve">f the child is a looked after child, school would need to inform the virtual school as well. </w:t>
      </w:r>
    </w:p>
    <w:p w:rsidR="00740DF2" w:rsidP="132E3201" w:rsidRDefault="13420945" w14:paraId="5D2690FB" w14:textId="3DB46C3E">
      <w:pPr>
        <w:pStyle w:val="Heading3"/>
      </w:pPr>
      <w:r>
        <w:lastRenderedPageBreak/>
        <w:t>Marking attendance</w:t>
      </w:r>
    </w:p>
    <w:p w:rsidR="00740DF2" w:rsidP="132E3201" w:rsidRDefault="13420945" w14:paraId="18181A89" w14:textId="1F2FD11E">
      <w:pPr>
        <w:rPr>
          <w:rFonts w:ascii="Arial" w:hAnsi="Arial" w:eastAsia="Arial" w:cs="Arial"/>
        </w:rPr>
      </w:pPr>
      <w:r>
        <w:t xml:space="preserve">In agreeing to a part-time timetable, a school has agreed to a pupil being absent from school for part of the week or day and therefore must record the absence accordingly (normally using code X or C2).  Further guidance can be found in </w:t>
      </w:r>
      <w:hyperlink r:id="rId14">
        <w:r w:rsidRPr="132E3201">
          <w:rPr>
            <w:rStyle w:val="Hyperlink"/>
            <w:rFonts w:ascii="Arial" w:hAnsi="Arial" w:eastAsia="Arial" w:cs="Arial"/>
          </w:rPr>
          <w:t>Working together to improve school attendance - GOV.UK (www.gov.uk)</w:t>
        </w:r>
      </w:hyperlink>
    </w:p>
    <w:p w:rsidR="00740DF2" w:rsidP="003476A4" w:rsidRDefault="00740DF2" w14:paraId="5BC8D8DB" w14:textId="36B84DAC"/>
    <w:p w:rsidRPr="00DE40AA" w:rsidR="00740DF2" w:rsidP="132E3201" w:rsidRDefault="3B5EAB97" w14:paraId="18FDE748" w14:textId="1584BD47">
      <w:pPr>
        <w:pStyle w:val="Heading3"/>
      </w:pPr>
      <w:r>
        <w:t>Next steps after 6 weeks</w:t>
      </w:r>
    </w:p>
    <w:p w:rsidRPr="00DE40AA" w:rsidR="00740DF2" w:rsidP="003476A4" w:rsidRDefault="14F10230" w14:paraId="0D2829DE" w14:textId="0EB5CE60">
      <w:r>
        <w:t>School should have arranged review meetings</w:t>
      </w:r>
      <w:r w:rsidR="6A496F0C">
        <w:t xml:space="preserve"> throughout the 6-week period</w:t>
      </w:r>
      <w:r>
        <w:t xml:space="preserve">. At the end of the agreed period (no more than 6 weeks) of the part-time timetable the school will have a re-integration review meeting. This will be an opportunity to discuss whether </w:t>
      </w:r>
      <w:r w:rsidR="4BFFB673">
        <w:t>the</w:t>
      </w:r>
      <w:r w:rsidR="1D57416E">
        <w:t xml:space="preserve"> o</w:t>
      </w:r>
      <w:r>
        <w:t>bjectives of the</w:t>
      </w:r>
      <w:r w:rsidR="7445457A">
        <w:t xml:space="preserve"> part-time</w:t>
      </w:r>
      <w:r>
        <w:t xml:space="preserve"> timetable have been met and to agree any on-going support necessary for </w:t>
      </w:r>
      <w:r w:rsidR="68B08D6F">
        <w:t>the</w:t>
      </w:r>
      <w:r>
        <w:t xml:space="preserve"> child</w:t>
      </w:r>
      <w:r w:rsidR="488FF124">
        <w:t xml:space="preserve"> or young person</w:t>
      </w:r>
      <w:r>
        <w:t xml:space="preserve">. If all </w:t>
      </w:r>
      <w:r w:rsidR="236F261F">
        <w:t>objectives</w:t>
      </w:r>
      <w:r>
        <w:t xml:space="preserve"> have been met the child will be attending school full-time</w:t>
      </w:r>
      <w:r w:rsidR="20FED01B">
        <w:t>. I</w:t>
      </w:r>
      <w:r w:rsidR="14D839DC">
        <w:t>f the objectives have not been achieved, a multi-agency TAC meeting needs to be arranged urgently to plan next steps. This should include specialist staff from outside agencies</w:t>
      </w:r>
      <w:r w:rsidR="415DDCBF">
        <w:t>.</w:t>
      </w:r>
    </w:p>
    <w:p w:rsidR="12F3B784" w:rsidP="13BA3751" w:rsidRDefault="12F3B784" w14:paraId="2C232690" w14:textId="1FE420A4">
      <w:pPr>
        <w:pStyle w:val="Heading3"/>
      </w:pPr>
      <w:r>
        <w:t>Ofsted</w:t>
      </w:r>
    </w:p>
    <w:p w:rsidR="3124A250" w:rsidP="150B0459" w:rsidRDefault="12F3B784" w14:paraId="5EC55EC7" w14:noSpellErr="1" w14:textId="0BF28D5C">
      <w:pPr>
        <w:rPr>
          <w:rFonts w:ascii="Arial" w:hAnsi="Arial" w:eastAsia="Arial" w:cs="Arial"/>
        </w:rPr>
      </w:pPr>
      <w:r w:rsidR="12F3B784">
        <w:rPr/>
        <w:t>Ofsted specifically mention part- time timetables in their new 2025 framework</w:t>
      </w:r>
      <w:r w:rsidR="49409776">
        <w:rPr/>
        <w:t xml:space="preserve"> </w:t>
      </w:r>
      <w:r w:rsidR="2E4B19EB">
        <w:rPr/>
        <w:t>which comes into effect</w:t>
      </w:r>
      <w:r w:rsidR="49409776">
        <w:rPr/>
        <w:t xml:space="preserve"> November 2025</w:t>
      </w:r>
      <w:r w:rsidR="12F3B784">
        <w:rPr/>
        <w:t>, under the inclusive practices to attendance and behaviour</w:t>
      </w:r>
      <w:r w:rsidR="2F594A0D">
        <w:rPr/>
        <w:t xml:space="preserve"> toolkit. </w:t>
      </w:r>
      <w:r w:rsidRPr="7C8FC859" w:rsidR="12F3B784">
        <w:rPr>
          <w:rFonts w:ascii="Arial" w:hAnsi="Arial" w:eastAsia="Arial" w:cs="Arial"/>
        </w:rPr>
        <w:t>Stating that</w:t>
      </w:r>
      <w:r w:rsidRPr="7C8FC859" w:rsidR="4A163969">
        <w:rPr>
          <w:rFonts w:ascii="Arial" w:hAnsi="Arial" w:eastAsia="Arial" w:cs="Arial"/>
        </w:rPr>
        <w:t xml:space="preserve"> inspectors need to gather evidence and </w:t>
      </w:r>
      <w:r w:rsidRPr="7C8FC859" w:rsidR="49955405">
        <w:rPr>
          <w:rFonts w:ascii="Arial" w:hAnsi="Arial" w:eastAsia="Arial" w:cs="Arial"/>
        </w:rPr>
        <w:t>“</w:t>
      </w:r>
      <w:r w:rsidRPr="7C8FC859" w:rsidR="4A163969">
        <w:rPr>
          <w:rFonts w:ascii="Arial" w:hAnsi="Arial" w:eastAsia="Arial" w:cs="Arial"/>
        </w:rPr>
        <w:t xml:space="preserve">consider to the extent in which </w:t>
      </w:r>
      <w:r w:rsidRPr="7C8FC859" w:rsidR="3124A250">
        <w:rPr>
          <w:rFonts w:ascii="Arial" w:hAnsi="Arial" w:eastAsia="Arial" w:cs="Arial"/>
        </w:rPr>
        <w:t>leaders and staff make sure that (when they are needed) part-time timetables are short term and have defined end points, and plans for supporting pupils’ return to full-time education are clear and appropriate</w:t>
      </w:r>
      <w:r w:rsidRPr="7C8FC859" w:rsidR="483EE070">
        <w:rPr>
          <w:rFonts w:ascii="Arial" w:hAnsi="Arial" w:eastAsia="Arial" w:cs="Arial"/>
        </w:rPr>
        <w:t>.”</w:t>
      </w:r>
      <w:r w:rsidRPr="7C8FC859" w:rsidR="2E253014">
        <w:rPr>
          <w:rFonts w:ascii="Arial" w:hAnsi="Arial" w:eastAsia="Arial" w:cs="Arial"/>
        </w:rPr>
        <w:t xml:space="preserve"> </w:t>
      </w:r>
      <w:hyperlink r:id="R4d0ca0a507aa46dc">
        <w:r w:rsidRPr="7C8FC859" w:rsidR="2E253014">
          <w:rPr>
            <w:rStyle w:val="Hyperlink"/>
            <w:rFonts w:ascii="Arial" w:hAnsi="Arial" w:eastAsia="Arial" w:cs="Arial"/>
          </w:rPr>
          <w:t>State-funded school inspection toolkit</w:t>
        </w:r>
      </w:hyperlink>
    </w:p>
    <w:sectPr w:rsidR="3124A250" w:rsidSect="00F642C4">
      <w:headerReference w:type="default" r:id="rId16"/>
      <w:footerReference w:type="default" r:id="rId17"/>
      <w:headerReference w:type="first" r:id="rId18"/>
      <w:footerReference w:type="first" r:id="rId19"/>
      <w:type w:val="continuous"/>
      <w:pgSz w:w="11901" w:h="16817" w:orient="portrait"/>
      <w:pgMar w:top="680" w:right="680" w:bottom="1701" w:left="680" w:header="62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D82" w:rsidP="00E24FD3" w:rsidRDefault="008A4D82" w14:paraId="5AE69C3D" w14:textId="77777777">
      <w:pPr>
        <w:spacing w:after="0"/>
      </w:pPr>
      <w:r>
        <w:separator/>
      </w:r>
    </w:p>
  </w:endnote>
  <w:endnote w:type="continuationSeparator" w:id="0">
    <w:p w:rsidR="008A4D82" w:rsidP="00E24FD3" w:rsidRDefault="008A4D82" w14:paraId="3DBD9F5A" w14:textId="77777777">
      <w:pPr>
        <w:spacing w:after="0"/>
      </w:pPr>
      <w:r>
        <w:continuationSeparator/>
      </w:r>
    </w:p>
  </w:endnote>
  <w:endnote w:type="continuationNotice" w:id="1">
    <w:p w:rsidR="008A4D82" w:rsidRDefault="008A4D82" w14:paraId="74627DF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1406984899"/>
      <w:docPartObj>
        <w:docPartGallery w:val="Page Numbers (Bottom of Page)"/>
        <w:docPartUnique/>
      </w:docPartObj>
    </w:sdtPr>
    <w:sdtEndPr>
      <w:rPr>
        <w:rStyle w:val="DefaultParagraphFont"/>
      </w:rPr>
    </w:sdtEndPr>
    <w:sdtContent>
      <w:p w:rsidR="00E24FD3" w:rsidP="00EA7DC7" w:rsidRDefault="00E24FD3" w14:paraId="015165D5" w14:textId="3B32A828">
        <w:pPr>
          <w:pStyle w:val="Footer"/>
          <w:framePr w:h="674" w:wrap="none" w:hAnchor="page" w:vAnchor="text" w:x="10893" w:y="-63" w:hRule="exact"/>
          <w:rPr>
            <w:rStyle w:val="PageNumber"/>
          </w:rPr>
        </w:pPr>
        <w:r>
          <w:rPr>
            <w:rStyle w:val="PageNumber"/>
          </w:rPr>
          <w:fldChar w:fldCharType="begin"/>
        </w:r>
        <w:r>
          <w:rPr>
            <w:rStyle w:val="PageNumber"/>
          </w:rPr>
          <w:instrText xml:space="preserve"> PAGE </w:instrText>
        </w:r>
        <w:r>
          <w:rPr>
            <w:rStyle w:val="PageNumber"/>
          </w:rPr>
          <w:fldChar w:fldCharType="separate"/>
        </w:r>
        <w:r w:rsidR="006E215C">
          <w:rPr>
            <w:rStyle w:val="PageNumber"/>
            <w:noProof/>
          </w:rPr>
          <w:t>3</w:t>
        </w:r>
        <w:r>
          <w:rPr>
            <w:rStyle w:val="PageNumber"/>
          </w:rPr>
          <w:fldChar w:fldCharType="end"/>
        </w:r>
      </w:p>
    </w:sdtContent>
  </w:sdt>
  <w:p w:rsidR="00E24FD3" w:rsidRDefault="00E24FD3" w14:paraId="51260887" w14:textId="3B22160F">
    <w:pPr>
      <w:pStyle w:val="Footer"/>
    </w:pPr>
    <w:r>
      <w:rPr>
        <w:noProof/>
        <w:lang w:eastAsia="en-GB"/>
      </w:rPr>
      <w:drawing>
        <wp:anchor distT="0" distB="0" distL="114300" distR="114300" simplePos="0" relativeHeight="251658242" behindDoc="1" locked="1" layoutInCell="1" allowOverlap="1" wp14:anchorId="25B51052" wp14:editId="5FBDFA9A">
          <wp:simplePos x="0" y="0"/>
          <wp:positionH relativeFrom="page">
            <wp:align>left</wp:align>
          </wp:positionH>
          <wp:positionV relativeFrom="page">
            <wp:align>bottom</wp:align>
          </wp:positionV>
          <wp:extent cx="7559675" cy="11410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59675" cy="11410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252817517"/>
      <w:docPartObj>
        <w:docPartGallery w:val="Page Numbers (Bottom of Page)"/>
        <w:docPartUnique/>
      </w:docPartObj>
    </w:sdtPr>
    <w:sdtEndPr>
      <w:rPr>
        <w:rStyle w:val="DefaultParagraphFont"/>
      </w:rPr>
    </w:sdtEndPr>
    <w:sdtContent>
      <w:p w:rsidR="00E24FD3" w:rsidP="00035F95" w:rsidRDefault="00E24FD3" w14:paraId="0DAE36D2" w14:textId="1F7BF3D6">
        <w:pPr>
          <w:pStyle w:val="Footer"/>
          <w:framePr w:wrap="none" w:hAnchor="page" w:vAnchor="text" w:x="10859" w:y="-47"/>
          <w:rPr>
            <w:rStyle w:val="PageNumber"/>
          </w:rPr>
        </w:pPr>
        <w:r>
          <w:rPr>
            <w:rStyle w:val="PageNumber"/>
          </w:rPr>
          <w:fldChar w:fldCharType="begin"/>
        </w:r>
        <w:r>
          <w:rPr>
            <w:rStyle w:val="PageNumber"/>
          </w:rPr>
          <w:instrText xml:space="preserve"> PAGE </w:instrText>
        </w:r>
        <w:r>
          <w:rPr>
            <w:rStyle w:val="PageNumber"/>
          </w:rPr>
          <w:fldChar w:fldCharType="separate"/>
        </w:r>
        <w:r w:rsidR="006E215C">
          <w:rPr>
            <w:rStyle w:val="PageNumber"/>
            <w:noProof/>
          </w:rPr>
          <w:t>1</w:t>
        </w:r>
        <w:r>
          <w:rPr>
            <w:rStyle w:val="PageNumber"/>
          </w:rPr>
          <w:fldChar w:fldCharType="end"/>
        </w:r>
      </w:p>
    </w:sdtContent>
  </w:sdt>
  <w:p w:rsidR="00E24FD3" w:rsidP="00E24FD3" w:rsidRDefault="00E24FD3" w14:paraId="323F305C" w14:textId="2B26D6E7">
    <w:pPr>
      <w:pStyle w:val="Footer"/>
      <w:ind w:right="360"/>
      <w:jc w:val="center"/>
    </w:pPr>
    <w:r>
      <w:rPr>
        <w:noProof/>
        <w:lang w:eastAsia="en-GB"/>
      </w:rPr>
      <w:drawing>
        <wp:anchor distT="0" distB="0" distL="114300" distR="114300" simplePos="0" relativeHeight="251658241" behindDoc="1" locked="1" layoutInCell="1" allowOverlap="1" wp14:anchorId="0C0F12EB" wp14:editId="6A51A1C8">
          <wp:simplePos x="0" y="0"/>
          <wp:positionH relativeFrom="margin">
            <wp:align>center</wp:align>
          </wp:positionH>
          <wp:positionV relativeFrom="bottomMargin">
            <wp:posOffset>-27305</wp:posOffset>
          </wp:positionV>
          <wp:extent cx="7595870" cy="10902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D82" w:rsidP="00E24FD3" w:rsidRDefault="008A4D82" w14:paraId="7C1A74F3" w14:textId="77777777">
      <w:pPr>
        <w:spacing w:after="0"/>
      </w:pPr>
      <w:r>
        <w:separator/>
      </w:r>
    </w:p>
  </w:footnote>
  <w:footnote w:type="continuationSeparator" w:id="0">
    <w:p w:rsidR="008A4D82" w:rsidP="00E24FD3" w:rsidRDefault="008A4D82" w14:paraId="582EDFDF" w14:textId="77777777">
      <w:pPr>
        <w:spacing w:after="0"/>
      </w:pPr>
      <w:r>
        <w:continuationSeparator/>
      </w:r>
    </w:p>
  </w:footnote>
  <w:footnote w:type="continuationNotice" w:id="1">
    <w:p w:rsidR="008A4D82" w:rsidRDefault="008A4D82" w14:paraId="14B1C34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BA" w:rsidRDefault="00E805BA" w14:paraId="5151080F" w14:textId="14F841DC">
    <w:pPr>
      <w:pStyle w:val="Header"/>
    </w:pPr>
  </w:p>
  <w:p w:rsidR="00E805BA" w:rsidRDefault="00E805BA" w14:paraId="15935C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4FD3" w:rsidRDefault="00E24FD3" w14:paraId="3F7C6C1A" w14:textId="2F267D3A">
    <w:pPr>
      <w:pStyle w:val="Header"/>
    </w:pPr>
    <w:r>
      <w:rPr>
        <w:noProof/>
        <w:lang w:eastAsia="en-GB"/>
      </w:rPr>
      <w:drawing>
        <wp:anchor distT="0" distB="0" distL="114300" distR="114300" simplePos="0" relativeHeight="251658240" behindDoc="1" locked="0" layoutInCell="1" allowOverlap="1" wp14:anchorId="4BD8524E" wp14:editId="117C9059">
          <wp:simplePos x="0" y="0"/>
          <wp:positionH relativeFrom="page">
            <wp:align>left</wp:align>
          </wp:positionH>
          <wp:positionV relativeFrom="paragraph">
            <wp:posOffset>-431800</wp:posOffset>
          </wp:positionV>
          <wp:extent cx="7560000" cy="213115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29" name="Picture 102608029"/>
                  <pic:cNvPicPr/>
                </pic:nvPicPr>
                <pic:blipFill>
                  <a:blip r:embed="rId1">
                    <a:extLst>
                      <a:ext uri="{28A0092B-C50C-407E-A947-70E740481C1C}">
                        <a14:useLocalDpi xmlns:a14="http://schemas.microsoft.com/office/drawing/2010/main" val="0"/>
                      </a:ext>
                    </a:extLst>
                  </a:blip>
                  <a:stretch>
                    <a:fillRect/>
                  </a:stretch>
                </pic:blipFill>
                <pic:spPr>
                  <a:xfrm>
                    <a:off x="0" y="0"/>
                    <a:ext cx="7560000" cy="21311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454"/>
    <w:multiLevelType w:val="hybridMultilevel"/>
    <w:tmpl w:val="67E66DAE"/>
    <w:lvl w:ilvl="0" w:tplc="2586E956">
      <w:start w:val="1"/>
      <w:numFmt w:val="bullet"/>
      <w:pStyle w:val="Bulletstyle"/>
      <w:lvlText w:val=""/>
      <w:lvlJc w:val="left"/>
      <w:pPr>
        <w:ind w:left="947" w:hanging="360"/>
      </w:pPr>
      <w:rPr>
        <w:rFonts w:hint="default" w:ascii="Symbol" w:hAnsi="Symbol"/>
      </w:rPr>
    </w:lvl>
    <w:lvl w:ilvl="1" w:tplc="08090003" w:tentative="1">
      <w:start w:val="1"/>
      <w:numFmt w:val="bullet"/>
      <w:lvlText w:val="o"/>
      <w:lvlJc w:val="left"/>
      <w:pPr>
        <w:ind w:left="1667" w:hanging="360"/>
      </w:pPr>
      <w:rPr>
        <w:rFonts w:hint="default" w:ascii="Courier New" w:hAnsi="Courier New" w:cs="Courier New"/>
      </w:rPr>
    </w:lvl>
    <w:lvl w:ilvl="2" w:tplc="08090005" w:tentative="1">
      <w:start w:val="1"/>
      <w:numFmt w:val="bullet"/>
      <w:lvlText w:val=""/>
      <w:lvlJc w:val="left"/>
      <w:pPr>
        <w:ind w:left="2387" w:hanging="360"/>
      </w:pPr>
      <w:rPr>
        <w:rFonts w:hint="default" w:ascii="Wingdings" w:hAnsi="Wingdings"/>
      </w:rPr>
    </w:lvl>
    <w:lvl w:ilvl="3" w:tplc="08090001" w:tentative="1">
      <w:start w:val="1"/>
      <w:numFmt w:val="bullet"/>
      <w:lvlText w:val=""/>
      <w:lvlJc w:val="left"/>
      <w:pPr>
        <w:ind w:left="3107" w:hanging="360"/>
      </w:pPr>
      <w:rPr>
        <w:rFonts w:hint="default" w:ascii="Symbol" w:hAnsi="Symbol"/>
      </w:rPr>
    </w:lvl>
    <w:lvl w:ilvl="4" w:tplc="08090003" w:tentative="1">
      <w:start w:val="1"/>
      <w:numFmt w:val="bullet"/>
      <w:lvlText w:val="o"/>
      <w:lvlJc w:val="left"/>
      <w:pPr>
        <w:ind w:left="3827" w:hanging="360"/>
      </w:pPr>
      <w:rPr>
        <w:rFonts w:hint="default" w:ascii="Courier New" w:hAnsi="Courier New" w:cs="Courier New"/>
      </w:rPr>
    </w:lvl>
    <w:lvl w:ilvl="5" w:tplc="08090005" w:tentative="1">
      <w:start w:val="1"/>
      <w:numFmt w:val="bullet"/>
      <w:lvlText w:val=""/>
      <w:lvlJc w:val="left"/>
      <w:pPr>
        <w:ind w:left="4547" w:hanging="360"/>
      </w:pPr>
      <w:rPr>
        <w:rFonts w:hint="default" w:ascii="Wingdings" w:hAnsi="Wingdings"/>
      </w:rPr>
    </w:lvl>
    <w:lvl w:ilvl="6" w:tplc="08090001" w:tentative="1">
      <w:start w:val="1"/>
      <w:numFmt w:val="bullet"/>
      <w:lvlText w:val=""/>
      <w:lvlJc w:val="left"/>
      <w:pPr>
        <w:ind w:left="5267" w:hanging="360"/>
      </w:pPr>
      <w:rPr>
        <w:rFonts w:hint="default" w:ascii="Symbol" w:hAnsi="Symbol"/>
      </w:rPr>
    </w:lvl>
    <w:lvl w:ilvl="7" w:tplc="08090003" w:tentative="1">
      <w:start w:val="1"/>
      <w:numFmt w:val="bullet"/>
      <w:lvlText w:val="o"/>
      <w:lvlJc w:val="left"/>
      <w:pPr>
        <w:ind w:left="5987" w:hanging="360"/>
      </w:pPr>
      <w:rPr>
        <w:rFonts w:hint="default" w:ascii="Courier New" w:hAnsi="Courier New" w:cs="Courier New"/>
      </w:rPr>
    </w:lvl>
    <w:lvl w:ilvl="8" w:tplc="08090005" w:tentative="1">
      <w:start w:val="1"/>
      <w:numFmt w:val="bullet"/>
      <w:lvlText w:val=""/>
      <w:lvlJc w:val="left"/>
      <w:pPr>
        <w:ind w:left="6707" w:hanging="360"/>
      </w:pPr>
      <w:rPr>
        <w:rFonts w:hint="default" w:ascii="Wingdings" w:hAnsi="Wingdings"/>
      </w:rPr>
    </w:lvl>
  </w:abstractNum>
  <w:abstractNum w:abstractNumId="1" w15:restartNumberingAfterBreak="0">
    <w:nsid w:val="2BF503C3"/>
    <w:multiLevelType w:val="hybridMultilevel"/>
    <w:tmpl w:val="F5C4E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104B50"/>
    <w:multiLevelType w:val="hybridMultilevel"/>
    <w:tmpl w:val="1BFAA5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91A639D"/>
    <w:multiLevelType w:val="hybridMultilevel"/>
    <w:tmpl w:val="A54CF7D2"/>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num w:numId="1" w16cid:durableId="1718355875">
    <w:abstractNumId w:val="2"/>
  </w:num>
  <w:num w:numId="2" w16cid:durableId="882056705">
    <w:abstractNumId w:val="0"/>
  </w:num>
  <w:num w:numId="3" w16cid:durableId="971717226">
    <w:abstractNumId w:val="3"/>
  </w:num>
  <w:num w:numId="4" w16cid:durableId="18737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V6/hu9afqlT2F94uwN0XG6tsWg/7cSDkcjoLAbVCALG3atSYi+aKcIGE2Dtruyqz"/>
  </w:docVars>
  <w:rsids>
    <w:rsidRoot w:val="00E24FD3"/>
    <w:rsid w:val="00022C52"/>
    <w:rsid w:val="00025AF8"/>
    <w:rsid w:val="00035F95"/>
    <w:rsid w:val="000442F5"/>
    <w:rsid w:val="000C4112"/>
    <w:rsid w:val="000C6FDA"/>
    <w:rsid w:val="000D0459"/>
    <w:rsid w:val="000F48C7"/>
    <w:rsid w:val="001422D9"/>
    <w:rsid w:val="00167704"/>
    <w:rsid w:val="001C1D89"/>
    <w:rsid w:val="00232DC0"/>
    <w:rsid w:val="00266809"/>
    <w:rsid w:val="00267EEF"/>
    <w:rsid w:val="002801D7"/>
    <w:rsid w:val="002C18A1"/>
    <w:rsid w:val="002C458B"/>
    <w:rsid w:val="002D68F8"/>
    <w:rsid w:val="002E5EF1"/>
    <w:rsid w:val="002F2659"/>
    <w:rsid w:val="003171F5"/>
    <w:rsid w:val="003476A4"/>
    <w:rsid w:val="003B2A41"/>
    <w:rsid w:val="003C4EDA"/>
    <w:rsid w:val="003D4877"/>
    <w:rsid w:val="00421D7A"/>
    <w:rsid w:val="004329ED"/>
    <w:rsid w:val="0043667A"/>
    <w:rsid w:val="00471B6A"/>
    <w:rsid w:val="00471E66"/>
    <w:rsid w:val="00473CF2"/>
    <w:rsid w:val="0049688B"/>
    <w:rsid w:val="004B6D98"/>
    <w:rsid w:val="006A687D"/>
    <w:rsid w:val="006B0432"/>
    <w:rsid w:val="006B4130"/>
    <w:rsid w:val="006E215C"/>
    <w:rsid w:val="006F5E5F"/>
    <w:rsid w:val="00700EB0"/>
    <w:rsid w:val="007011D6"/>
    <w:rsid w:val="0071029C"/>
    <w:rsid w:val="007103F4"/>
    <w:rsid w:val="00740DF2"/>
    <w:rsid w:val="007827AA"/>
    <w:rsid w:val="00797626"/>
    <w:rsid w:val="007C1591"/>
    <w:rsid w:val="00834E4F"/>
    <w:rsid w:val="008614E8"/>
    <w:rsid w:val="0088398B"/>
    <w:rsid w:val="00891718"/>
    <w:rsid w:val="0089DB2F"/>
    <w:rsid w:val="008A1563"/>
    <w:rsid w:val="008A4D82"/>
    <w:rsid w:val="008B5508"/>
    <w:rsid w:val="008B575C"/>
    <w:rsid w:val="008C24E3"/>
    <w:rsid w:val="008C3C53"/>
    <w:rsid w:val="009035C6"/>
    <w:rsid w:val="0093611D"/>
    <w:rsid w:val="00943D33"/>
    <w:rsid w:val="00983FBA"/>
    <w:rsid w:val="00987CE9"/>
    <w:rsid w:val="00997F4C"/>
    <w:rsid w:val="009F38D9"/>
    <w:rsid w:val="00A30790"/>
    <w:rsid w:val="00AA1CE6"/>
    <w:rsid w:val="00AF496C"/>
    <w:rsid w:val="00B34745"/>
    <w:rsid w:val="00B60258"/>
    <w:rsid w:val="00B85681"/>
    <w:rsid w:val="00B87B8A"/>
    <w:rsid w:val="00BA2EB3"/>
    <w:rsid w:val="00C172BE"/>
    <w:rsid w:val="00C47136"/>
    <w:rsid w:val="00C84B0F"/>
    <w:rsid w:val="00CB5543"/>
    <w:rsid w:val="00CE1713"/>
    <w:rsid w:val="00CF3531"/>
    <w:rsid w:val="00D66C71"/>
    <w:rsid w:val="00D81720"/>
    <w:rsid w:val="00DA6481"/>
    <w:rsid w:val="00DE40AA"/>
    <w:rsid w:val="00DE7DB1"/>
    <w:rsid w:val="00DF1E87"/>
    <w:rsid w:val="00E0387E"/>
    <w:rsid w:val="00E10B7B"/>
    <w:rsid w:val="00E15BE5"/>
    <w:rsid w:val="00E24FD3"/>
    <w:rsid w:val="00E805BA"/>
    <w:rsid w:val="00EA0C2F"/>
    <w:rsid w:val="00EA7DC7"/>
    <w:rsid w:val="00ED7689"/>
    <w:rsid w:val="00EE414A"/>
    <w:rsid w:val="00F52365"/>
    <w:rsid w:val="00F642C4"/>
    <w:rsid w:val="00F7291A"/>
    <w:rsid w:val="00FE29E2"/>
    <w:rsid w:val="011A07F8"/>
    <w:rsid w:val="017A1478"/>
    <w:rsid w:val="047EB1F6"/>
    <w:rsid w:val="04FBD158"/>
    <w:rsid w:val="07F73A87"/>
    <w:rsid w:val="08B76547"/>
    <w:rsid w:val="08E66577"/>
    <w:rsid w:val="08EE38F0"/>
    <w:rsid w:val="0BC6D429"/>
    <w:rsid w:val="0C206077"/>
    <w:rsid w:val="0CF27854"/>
    <w:rsid w:val="11F71932"/>
    <w:rsid w:val="12F3B784"/>
    <w:rsid w:val="132E3201"/>
    <w:rsid w:val="13420945"/>
    <w:rsid w:val="13BA3751"/>
    <w:rsid w:val="1434CE51"/>
    <w:rsid w:val="14D839DC"/>
    <w:rsid w:val="14F10230"/>
    <w:rsid w:val="14FC96DF"/>
    <w:rsid w:val="150B0459"/>
    <w:rsid w:val="19A99E1F"/>
    <w:rsid w:val="1A9C5582"/>
    <w:rsid w:val="1ACEE63A"/>
    <w:rsid w:val="1B062906"/>
    <w:rsid w:val="1BE29B8A"/>
    <w:rsid w:val="1C5F7548"/>
    <w:rsid w:val="1D2860D6"/>
    <w:rsid w:val="1D57416E"/>
    <w:rsid w:val="1EA925B0"/>
    <w:rsid w:val="20279DE8"/>
    <w:rsid w:val="20FED01B"/>
    <w:rsid w:val="21707A77"/>
    <w:rsid w:val="236F261F"/>
    <w:rsid w:val="243C56FE"/>
    <w:rsid w:val="24F718C3"/>
    <w:rsid w:val="25219876"/>
    <w:rsid w:val="253FBB3F"/>
    <w:rsid w:val="25650E69"/>
    <w:rsid w:val="25A8C32A"/>
    <w:rsid w:val="25D86F18"/>
    <w:rsid w:val="2695C439"/>
    <w:rsid w:val="274D7BFB"/>
    <w:rsid w:val="276300EB"/>
    <w:rsid w:val="276775FC"/>
    <w:rsid w:val="2771BCAD"/>
    <w:rsid w:val="29562429"/>
    <w:rsid w:val="29E8426E"/>
    <w:rsid w:val="2A646054"/>
    <w:rsid w:val="2AD0709A"/>
    <w:rsid w:val="2CB3E7E7"/>
    <w:rsid w:val="2D5C5276"/>
    <w:rsid w:val="2E253014"/>
    <w:rsid w:val="2E4B19EB"/>
    <w:rsid w:val="2EE46833"/>
    <w:rsid w:val="2F594A0D"/>
    <w:rsid w:val="3121D7DB"/>
    <w:rsid w:val="3124A250"/>
    <w:rsid w:val="322DB3FF"/>
    <w:rsid w:val="3231C2D6"/>
    <w:rsid w:val="32D0D5B4"/>
    <w:rsid w:val="34C4BD64"/>
    <w:rsid w:val="36A77CBE"/>
    <w:rsid w:val="380E082D"/>
    <w:rsid w:val="38624DD2"/>
    <w:rsid w:val="38E56687"/>
    <w:rsid w:val="3B2C13ED"/>
    <w:rsid w:val="3B5EAB97"/>
    <w:rsid w:val="3EC946A8"/>
    <w:rsid w:val="4032057A"/>
    <w:rsid w:val="404501CA"/>
    <w:rsid w:val="4121279A"/>
    <w:rsid w:val="415DDCBF"/>
    <w:rsid w:val="41CA9CD6"/>
    <w:rsid w:val="433B74AD"/>
    <w:rsid w:val="46466D4C"/>
    <w:rsid w:val="47FE62A2"/>
    <w:rsid w:val="483EE070"/>
    <w:rsid w:val="4840984F"/>
    <w:rsid w:val="487FCE83"/>
    <w:rsid w:val="488FF124"/>
    <w:rsid w:val="48E3AFF5"/>
    <w:rsid w:val="49409776"/>
    <w:rsid w:val="4976C4AD"/>
    <w:rsid w:val="49955405"/>
    <w:rsid w:val="4A163969"/>
    <w:rsid w:val="4BFFB673"/>
    <w:rsid w:val="4C009B4F"/>
    <w:rsid w:val="4E09D095"/>
    <w:rsid w:val="4E49D297"/>
    <w:rsid w:val="503396FD"/>
    <w:rsid w:val="5244E429"/>
    <w:rsid w:val="525E9598"/>
    <w:rsid w:val="52982885"/>
    <w:rsid w:val="53221E8A"/>
    <w:rsid w:val="543B7B37"/>
    <w:rsid w:val="545F582F"/>
    <w:rsid w:val="54C04C9A"/>
    <w:rsid w:val="55C5C34B"/>
    <w:rsid w:val="55FF8EF9"/>
    <w:rsid w:val="5626250D"/>
    <w:rsid w:val="56982E2E"/>
    <w:rsid w:val="583A2C18"/>
    <w:rsid w:val="59CF294E"/>
    <w:rsid w:val="5AC7E17F"/>
    <w:rsid w:val="5B7874C6"/>
    <w:rsid w:val="5BAE5A5D"/>
    <w:rsid w:val="5BF22D6D"/>
    <w:rsid w:val="5F33A0FF"/>
    <w:rsid w:val="5F77896D"/>
    <w:rsid w:val="60C6D380"/>
    <w:rsid w:val="61490699"/>
    <w:rsid w:val="6239388B"/>
    <w:rsid w:val="640632FA"/>
    <w:rsid w:val="6430D4E2"/>
    <w:rsid w:val="64977F9B"/>
    <w:rsid w:val="650A81D2"/>
    <w:rsid w:val="6515867C"/>
    <w:rsid w:val="66ECEFF0"/>
    <w:rsid w:val="68B08D6F"/>
    <w:rsid w:val="6A496F0C"/>
    <w:rsid w:val="6B35921E"/>
    <w:rsid w:val="6B8E26F5"/>
    <w:rsid w:val="6BDB9D45"/>
    <w:rsid w:val="6C458F6D"/>
    <w:rsid w:val="6C66E33F"/>
    <w:rsid w:val="6C78195D"/>
    <w:rsid w:val="6E1B1275"/>
    <w:rsid w:val="7001C31C"/>
    <w:rsid w:val="71099477"/>
    <w:rsid w:val="72926DB8"/>
    <w:rsid w:val="72DB6361"/>
    <w:rsid w:val="735F833C"/>
    <w:rsid w:val="7445457A"/>
    <w:rsid w:val="792A0B3B"/>
    <w:rsid w:val="7A95CD68"/>
    <w:rsid w:val="7AC122CC"/>
    <w:rsid w:val="7AE91DC2"/>
    <w:rsid w:val="7BD246E2"/>
    <w:rsid w:val="7C8FC859"/>
    <w:rsid w:val="7C90BD07"/>
    <w:rsid w:val="7CA46B9A"/>
    <w:rsid w:val="7D1DF54F"/>
    <w:rsid w:val="7E6F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66F2"/>
  <w15:chartTrackingRefBased/>
  <w15:docId w15:val="{F469F471-D5D4-40DB-B19E-270BDEC2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4"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aragraph"/>
    <w:qFormat/>
    <w:rsid w:val="00891718"/>
  </w:style>
  <w:style w:type="paragraph" w:styleId="Heading1">
    <w:name w:val="heading 1"/>
    <w:basedOn w:val="Normal"/>
    <w:next w:val="Normal"/>
    <w:link w:val="Heading1Char"/>
    <w:uiPriority w:val="1"/>
    <w:qFormat/>
    <w:rsid w:val="008B575C"/>
    <w:pPr>
      <w:keepNext/>
      <w:keepLines/>
      <w:outlineLvl w:val="0"/>
    </w:pPr>
    <w:rPr>
      <w:rFonts w:asciiTheme="majorHAnsi" w:hAnsiTheme="majorHAnsi" w:eastAsiaTheme="majorEastAsia" w:cstheme="majorBidi"/>
      <w:color w:val="44276E"/>
      <w:sz w:val="72"/>
      <w:szCs w:val="32"/>
    </w:rPr>
  </w:style>
  <w:style w:type="paragraph" w:styleId="Heading2">
    <w:name w:val="heading 2"/>
    <w:basedOn w:val="Normal"/>
    <w:next w:val="Normal"/>
    <w:link w:val="Heading2Char1"/>
    <w:autoRedefine/>
    <w:uiPriority w:val="1"/>
    <w:unhideWhenUsed/>
    <w:qFormat/>
    <w:rsid w:val="00891718"/>
    <w:pPr>
      <w:keepNext/>
      <w:keepLines/>
      <w:outlineLvl w:val="1"/>
    </w:pPr>
    <w:rPr>
      <w:rFonts w:ascii="Arial" w:hAnsi="Arial" w:cs="Arial" w:eastAsiaTheme="majorEastAsia"/>
      <w:color w:val="00873B" w:themeColor="text1"/>
      <w:sz w:val="48"/>
      <w:szCs w:val="26"/>
    </w:rPr>
  </w:style>
  <w:style w:type="paragraph" w:styleId="Heading3">
    <w:name w:val="heading 3"/>
    <w:basedOn w:val="Normal"/>
    <w:next w:val="Normal"/>
    <w:link w:val="Heading3Char"/>
    <w:autoRedefine/>
    <w:uiPriority w:val="1"/>
    <w:unhideWhenUsed/>
    <w:qFormat/>
    <w:rsid w:val="00891718"/>
    <w:pPr>
      <w:keepNext/>
      <w:keepLines/>
      <w:outlineLvl w:val="2"/>
    </w:pPr>
    <w:rPr>
      <w:rFonts w:asciiTheme="majorHAnsi" w:hAnsiTheme="majorHAnsi" w:eastAsiaTheme="majorEastAsia" w:cstheme="majorBidi"/>
      <w:b/>
      <w:sz w:val="36"/>
    </w:rPr>
  </w:style>
  <w:style w:type="paragraph" w:styleId="Heading4">
    <w:name w:val="heading 4"/>
    <w:basedOn w:val="Normal"/>
    <w:next w:val="Normal"/>
    <w:link w:val="Heading4Char"/>
    <w:uiPriority w:val="9"/>
    <w:unhideWhenUsed/>
    <w:qFormat/>
    <w:rsid w:val="00F52365"/>
    <w:pPr>
      <w:keepNext/>
      <w:keepLines/>
      <w:spacing w:before="40" w:after="0"/>
      <w:outlineLvl w:val="3"/>
    </w:pPr>
    <w:rPr>
      <w:rFonts w:asciiTheme="majorHAnsi" w:hAnsiTheme="majorHAnsi" w:eastAsiaTheme="majorEastAsia" w:cstheme="majorBidi"/>
      <w:b/>
      <w:iCs/>
      <w:color w:val="44276E" w:themeColor="accent5"/>
      <w:sz w:val="28"/>
    </w:rPr>
  </w:style>
  <w:style w:type="paragraph" w:styleId="Heading5">
    <w:name w:val="heading 5"/>
    <w:basedOn w:val="Normal"/>
    <w:next w:val="Normal"/>
    <w:link w:val="Heading5Char"/>
    <w:uiPriority w:val="9"/>
    <w:unhideWhenUsed/>
    <w:qFormat/>
    <w:rsid w:val="00F52365"/>
    <w:pPr>
      <w:keepNext/>
      <w:keepLines/>
      <w:spacing w:before="40" w:after="0"/>
      <w:outlineLvl w:val="4"/>
    </w:pPr>
    <w:rPr>
      <w:rFonts w:asciiTheme="majorHAnsi" w:hAnsiTheme="majorHAnsi"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8B575C"/>
    <w:rPr>
      <w:rFonts w:asciiTheme="majorHAnsi" w:hAnsiTheme="majorHAnsi" w:eastAsiaTheme="majorEastAsia" w:cstheme="majorBidi"/>
      <w:color w:val="44276E"/>
      <w:sz w:val="72"/>
      <w:szCs w:val="32"/>
    </w:rPr>
  </w:style>
  <w:style w:type="character" w:styleId="Heading2Char" w:customStyle="1">
    <w:name w:val="Heading 2 Char"/>
    <w:basedOn w:val="DefaultParagraphFont"/>
    <w:uiPriority w:val="1"/>
    <w:rsid w:val="006A687D"/>
    <w:rPr>
      <w:rFonts w:ascii="Arial" w:hAnsi="Arial" w:cs="Arial" w:eastAsiaTheme="majorEastAsia"/>
      <w:color w:val="000000" w:themeColor="text2"/>
      <w:sz w:val="48"/>
      <w:szCs w:val="26"/>
    </w:rPr>
  </w:style>
  <w:style w:type="character" w:styleId="Heading3Char" w:customStyle="1">
    <w:name w:val="Heading 3 Char"/>
    <w:basedOn w:val="DefaultParagraphFont"/>
    <w:link w:val="Heading3"/>
    <w:uiPriority w:val="1"/>
    <w:rsid w:val="00891718"/>
    <w:rPr>
      <w:rFonts w:asciiTheme="majorHAnsi" w:hAnsiTheme="majorHAnsi" w:eastAsiaTheme="majorEastAsia" w:cstheme="majorBidi"/>
      <w:b/>
      <w:sz w:val="36"/>
    </w:rPr>
  </w:style>
  <w:style w:type="paragraph" w:styleId="Header">
    <w:name w:val="header"/>
    <w:basedOn w:val="Normal"/>
    <w:link w:val="HeaderChar"/>
    <w:uiPriority w:val="99"/>
    <w:unhideWhenUsed/>
    <w:rsid w:val="00E24FD3"/>
    <w:pPr>
      <w:tabs>
        <w:tab w:val="center" w:pos="4513"/>
        <w:tab w:val="right" w:pos="9026"/>
      </w:tabs>
    </w:pPr>
  </w:style>
  <w:style w:type="character" w:styleId="HeaderChar" w:customStyle="1">
    <w:name w:val="Header Char"/>
    <w:basedOn w:val="DefaultParagraphFont"/>
    <w:link w:val="Header"/>
    <w:uiPriority w:val="99"/>
    <w:rsid w:val="00E24FD3"/>
  </w:style>
  <w:style w:type="paragraph" w:styleId="Footer">
    <w:name w:val="footer"/>
    <w:basedOn w:val="Normal"/>
    <w:link w:val="FooterChar"/>
    <w:uiPriority w:val="99"/>
    <w:unhideWhenUsed/>
    <w:rsid w:val="00E24FD3"/>
    <w:pPr>
      <w:tabs>
        <w:tab w:val="center" w:pos="4513"/>
        <w:tab w:val="right" w:pos="9026"/>
      </w:tabs>
    </w:pPr>
    <w:rPr>
      <w:color w:val="000000" w:themeColor="background1"/>
      <w:sz w:val="18"/>
    </w:rPr>
  </w:style>
  <w:style w:type="character" w:styleId="FooterChar" w:customStyle="1">
    <w:name w:val="Footer Char"/>
    <w:basedOn w:val="DefaultParagraphFont"/>
    <w:link w:val="Footer"/>
    <w:uiPriority w:val="99"/>
    <w:rsid w:val="00E24FD3"/>
    <w:rPr>
      <w:color w:val="000000" w:themeColor="background1"/>
      <w:sz w:val="18"/>
    </w:rPr>
  </w:style>
  <w:style w:type="character" w:styleId="PageNumber">
    <w:name w:val="page number"/>
    <w:basedOn w:val="DefaultParagraphFont"/>
    <w:uiPriority w:val="99"/>
    <w:semiHidden/>
    <w:unhideWhenUsed/>
    <w:rsid w:val="00E24FD3"/>
  </w:style>
  <w:style w:type="paragraph" w:styleId="BasicParagraph" w:customStyle="1">
    <w:name w:val="[Basic Paragraph]"/>
    <w:basedOn w:val="Normal"/>
    <w:link w:val="BasicParagraphChar"/>
    <w:uiPriority w:val="99"/>
    <w:rsid w:val="00C172BE"/>
    <w:pPr>
      <w:autoSpaceDE w:val="0"/>
      <w:autoSpaceDN w:val="0"/>
      <w:adjustRightInd w:val="0"/>
      <w:textAlignment w:val="center"/>
    </w:pPr>
    <w:rPr>
      <w:rFonts w:ascii="Minion Pro" w:hAnsi="Minion Pro" w:cs="Minion Pro"/>
      <w:color w:val="000000"/>
      <w:kern w:val="0"/>
    </w:rPr>
  </w:style>
  <w:style w:type="character" w:styleId="Hyperlink">
    <w:name w:val="Hyperlink"/>
    <w:basedOn w:val="DefaultParagraphFont"/>
    <w:uiPriority w:val="4"/>
    <w:qFormat/>
    <w:rsid w:val="006E215C"/>
    <w:rPr>
      <w:rFonts w:asciiTheme="minorHAnsi" w:hAnsiTheme="minorHAnsi"/>
      <w:color w:val="auto"/>
      <w:u w:val="single"/>
    </w:rPr>
  </w:style>
  <w:style w:type="paragraph" w:styleId="ListParagraph">
    <w:name w:val="List Paragraph"/>
    <w:basedOn w:val="Normal"/>
    <w:uiPriority w:val="34"/>
    <w:qFormat/>
    <w:rsid w:val="00C172BE"/>
    <w:pPr>
      <w:spacing w:line="300" w:lineRule="atLeast"/>
      <w:contextualSpacing/>
    </w:pPr>
  </w:style>
  <w:style w:type="character" w:styleId="UnresolvedMention1" w:customStyle="1">
    <w:name w:val="Unresolved Mention1"/>
    <w:basedOn w:val="DefaultParagraphFont"/>
    <w:uiPriority w:val="99"/>
    <w:semiHidden/>
    <w:unhideWhenUsed/>
    <w:rsid w:val="00C172BE"/>
    <w:rPr>
      <w:color w:val="605E5C"/>
      <w:shd w:val="clear" w:color="auto" w:fill="E1DFDD"/>
    </w:rPr>
  </w:style>
  <w:style w:type="paragraph" w:styleId="Bulletstyle" w:customStyle="1">
    <w:name w:val="Bullet style"/>
    <w:basedOn w:val="BasicParagraph"/>
    <w:link w:val="BulletstyleChar"/>
    <w:uiPriority w:val="4"/>
    <w:qFormat/>
    <w:rsid w:val="00F7291A"/>
    <w:pPr>
      <w:numPr>
        <w:numId w:val="2"/>
      </w:numPr>
      <w:suppressAutoHyphens/>
      <w:spacing w:before="120" w:after="120" w:line="240" w:lineRule="auto"/>
      <w:ind w:hanging="357"/>
    </w:pPr>
    <w:rPr>
      <w:rFonts w:ascii="Arial" w:hAnsi="Arial" w:cs="Arial"/>
    </w:rPr>
  </w:style>
  <w:style w:type="paragraph" w:styleId="NoSpacing">
    <w:name w:val="No Spacing"/>
    <w:uiPriority w:val="4"/>
    <w:unhideWhenUsed/>
    <w:rsid w:val="001C1D89"/>
    <w:pPr>
      <w:spacing w:before="0" w:after="0" w:line="240" w:lineRule="auto"/>
    </w:pPr>
  </w:style>
  <w:style w:type="character" w:styleId="BasicParagraphChar" w:customStyle="1">
    <w:name w:val="[Basic Paragraph] Char"/>
    <w:basedOn w:val="DefaultParagraphFont"/>
    <w:link w:val="BasicParagraph"/>
    <w:uiPriority w:val="99"/>
    <w:rsid w:val="00DE40AA"/>
    <w:rPr>
      <w:rFonts w:ascii="Minion Pro" w:hAnsi="Minion Pro" w:cs="Minion Pro"/>
      <w:color w:val="000000"/>
      <w:kern w:val="0"/>
    </w:rPr>
  </w:style>
  <w:style w:type="character" w:styleId="BulletstyleChar" w:customStyle="1">
    <w:name w:val="Bullet style Char"/>
    <w:basedOn w:val="BasicParagraphChar"/>
    <w:link w:val="Bulletstyle"/>
    <w:uiPriority w:val="4"/>
    <w:rsid w:val="00F7291A"/>
    <w:rPr>
      <w:rFonts w:ascii="Arial" w:hAnsi="Arial" w:cs="Arial"/>
      <w:color w:val="000000"/>
      <w:kern w:val="0"/>
    </w:rPr>
  </w:style>
  <w:style w:type="paragraph" w:styleId="BalloonText">
    <w:name w:val="Balloon Text"/>
    <w:basedOn w:val="Normal"/>
    <w:link w:val="BalloonTextChar"/>
    <w:uiPriority w:val="99"/>
    <w:semiHidden/>
    <w:unhideWhenUsed/>
    <w:rsid w:val="00E0387E"/>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387E"/>
    <w:rPr>
      <w:rFonts w:ascii="Segoe UI" w:hAnsi="Segoe UI" w:cs="Segoe UI"/>
      <w:sz w:val="18"/>
      <w:szCs w:val="18"/>
    </w:rPr>
  </w:style>
  <w:style w:type="character" w:styleId="Heading4Char" w:customStyle="1">
    <w:name w:val="Heading 4 Char"/>
    <w:basedOn w:val="DefaultParagraphFont"/>
    <w:link w:val="Heading4"/>
    <w:uiPriority w:val="9"/>
    <w:rsid w:val="00F52365"/>
    <w:rPr>
      <w:rFonts w:asciiTheme="majorHAnsi" w:hAnsiTheme="majorHAnsi" w:eastAsiaTheme="majorEastAsia" w:cstheme="majorBidi"/>
      <w:b/>
      <w:iCs/>
      <w:color w:val="44276E" w:themeColor="accent5"/>
      <w:sz w:val="28"/>
    </w:rPr>
  </w:style>
  <w:style w:type="character" w:styleId="Heading2Char1" w:customStyle="1">
    <w:name w:val="Heading 2 Char1"/>
    <w:basedOn w:val="DefaultParagraphFont"/>
    <w:link w:val="Heading2"/>
    <w:uiPriority w:val="1"/>
    <w:rsid w:val="00891718"/>
    <w:rPr>
      <w:rFonts w:ascii="Arial" w:hAnsi="Arial" w:cs="Arial" w:eastAsiaTheme="majorEastAsia"/>
      <w:color w:val="00873B" w:themeColor="text1"/>
      <w:sz w:val="48"/>
      <w:szCs w:val="26"/>
    </w:rPr>
  </w:style>
  <w:style w:type="character" w:styleId="Heading5Char" w:customStyle="1">
    <w:name w:val="Heading 5 Char"/>
    <w:basedOn w:val="DefaultParagraphFont"/>
    <w:link w:val="Heading5"/>
    <w:uiPriority w:val="9"/>
    <w:rsid w:val="00F52365"/>
    <w:rPr>
      <w:rFonts w:asciiTheme="majorHAnsi" w:hAnsiTheme="majorHAnsi" w:eastAsiaTheme="majorEastAsia" w:cstheme="majorBidi"/>
      <w:i/>
    </w:rPr>
  </w:style>
  <w:style w:type="table" w:styleId="TableGrid">
    <w:name w:val="Table Grid"/>
    <w:basedOn w:val="TableNormal"/>
    <w:uiPriority w:val="59"/>
    <w:rsid w:val="00FB4123"/>
    <w:pPr>
      <w:spacing w:after="0" w:line="240" w:lineRule="auto"/>
    </w:pPr>
    <w:tblPr>
      <w:tblBorders>
        <w:top w:val="single" w:color="00873B" w:themeColor="text1" w:sz="4" w:space="0"/>
        <w:left w:val="single" w:color="00873B" w:themeColor="text1" w:sz="4" w:space="0"/>
        <w:bottom w:val="single" w:color="00873B" w:themeColor="text1" w:sz="4" w:space="0"/>
        <w:right w:val="single" w:color="00873B" w:themeColor="text1" w:sz="4" w:space="0"/>
        <w:insideH w:val="single" w:color="00873B" w:themeColor="text1" w:sz="4" w:space="0"/>
        <w:insideV w:val="single" w:color="00873B"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media/63ee20a3d3bf7f62e5f76ba4/Summary_of_responsibilities_where_a_mental_health_issue_is_affecting_attendance.pdf"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assets.publishing.service.gov.uk/media/657995f0254aaa000d050bff/Arranging_education_for_children_who_cannot_attend_school_because_of_health_needs.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media/66bf300da44f1c4c23e5bd1b/Working_together_to_improve_school_attendance_-_August_2024.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working-together-to-improve-school-attendance" TargetMode="External" Id="rId14" /><Relationship Type="http://schemas.openxmlformats.org/officeDocument/2006/relationships/hyperlink" Target="https://assets.publishing.service.gov.uk/media/68b9a6b8b0a373a01819fe4b/Schools_inspection_toolkit.pdf" TargetMode="External" Id="R4d0ca0a507aa46dc"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Southwark Council refreshed">
      <a:dk1>
        <a:srgbClr val="00873B"/>
      </a:dk1>
      <a:lt1>
        <a:srgbClr val="000000"/>
      </a:lt1>
      <a:dk2>
        <a:srgbClr val="000000"/>
      </a:dk2>
      <a:lt2>
        <a:srgbClr val="FFFFFF"/>
      </a:lt2>
      <a:accent1>
        <a:srgbClr val="00ACE9"/>
      </a:accent1>
      <a:accent2>
        <a:srgbClr val="25463D"/>
      </a:accent2>
      <a:accent3>
        <a:srgbClr val="007C90"/>
      </a:accent3>
      <a:accent4>
        <a:srgbClr val="3B4395"/>
      </a:accent4>
      <a:accent5>
        <a:srgbClr val="44276E"/>
      </a:accent5>
      <a:accent6>
        <a:srgbClr val="BB0071"/>
      </a:accent6>
      <a:hlink>
        <a:srgbClr val="002060"/>
      </a:hlink>
      <a:folHlink>
        <a:srgbClr val="0020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2CE01214B4C48B57DACED8B84DB72" ma:contentTypeVersion="15" ma:contentTypeDescription="Create a new document." ma:contentTypeScope="" ma:versionID="a9b464891e404a5576ee7d3d739ed92d">
  <xsd:schema xmlns:xsd="http://www.w3.org/2001/XMLSchema" xmlns:xs="http://www.w3.org/2001/XMLSchema" xmlns:p="http://schemas.microsoft.com/office/2006/metadata/properties" xmlns:ns2="f126b8fc-cf47-4fe1-9da1-3c7abb781a6e" xmlns:ns3="0a0921c6-9014-42cd-85c2-9ce61efbe378" targetNamespace="http://schemas.microsoft.com/office/2006/metadata/properties" ma:root="true" ma:fieldsID="0737062de971c5f9b1a04e0e03c1e251" ns2:_="" ns3:_="">
    <xsd:import namespace="f126b8fc-cf47-4fe1-9da1-3c7abb781a6e"/>
    <xsd:import namespace="0a0921c6-9014-42cd-85c2-9ce61efbe3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6b8fc-cf47-4fe1-9da1-3c7abb781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dd2099-9045-4afe-b326-2569af22067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921c6-9014-42cd-85c2-9ce61efbe3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3e4f3f-8613-4298-b994-75a898fc14c8}" ma:internalName="TaxCatchAll" ma:showField="CatchAllData" ma:web="0a0921c6-9014-42cd-85c2-9ce61efbe3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26b8fc-cf47-4fe1-9da1-3c7abb781a6e">
      <Terms xmlns="http://schemas.microsoft.com/office/infopath/2007/PartnerControls"/>
    </lcf76f155ced4ddcb4097134ff3c332f>
    <TaxCatchAll xmlns="0a0921c6-9014-42cd-85c2-9ce61efbe3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26FD6-CD8F-4648-8594-CD49EF7E6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6b8fc-cf47-4fe1-9da1-3c7abb781a6e"/>
    <ds:schemaRef ds:uri="0a0921c6-9014-42cd-85c2-9ce61efbe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6C1A3-052C-45B7-880B-6EA307CF26D6}">
  <ds:schemaRefs>
    <ds:schemaRef ds:uri="http://schemas.openxmlformats.org/officeDocument/2006/bibliography"/>
  </ds:schemaRefs>
</ds:datastoreItem>
</file>

<file path=customXml/itemProps3.xml><?xml version="1.0" encoding="utf-8"?>
<ds:datastoreItem xmlns:ds="http://schemas.openxmlformats.org/officeDocument/2006/customXml" ds:itemID="{7A97EF18-FE15-48C7-95F0-FB7114CF1E2D}">
  <ds:schemaRefs>
    <ds:schemaRef ds:uri="http://schemas.microsoft.com/office/2006/metadata/properties"/>
    <ds:schemaRef ds:uri="http://schemas.microsoft.com/office/infopath/2007/PartnerControls"/>
    <ds:schemaRef ds:uri="f126b8fc-cf47-4fe1-9da1-3c7abb781a6e"/>
    <ds:schemaRef ds:uri="0a0921c6-9014-42cd-85c2-9ce61efbe378"/>
  </ds:schemaRefs>
</ds:datastoreItem>
</file>

<file path=customXml/itemProps4.xml><?xml version="1.0" encoding="utf-8"?>
<ds:datastoreItem xmlns:ds="http://schemas.openxmlformats.org/officeDocument/2006/customXml" ds:itemID="{198F977C-3DD3-484E-B03B-035D77F36E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Southwark Council factsheet</dc:title>
  <dc:subject/>
  <dc:creator>Studio Whatever</dc:creator>
  <keywords/>
  <dc:description/>
  <lastModifiedBy>Zinga, Mabina</lastModifiedBy>
  <revision>48</revision>
  <lastPrinted>2024-01-02T20:22:00.0000000Z</lastPrinted>
  <dcterms:created xsi:type="dcterms:W3CDTF">2024-01-29T20:35:00.0000000Z</dcterms:created>
  <dcterms:modified xsi:type="dcterms:W3CDTF">2025-10-16T12:21:45.1390777Z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0x010100A592CE01214B4C48B57DACED8B84DB72</vt:lpwstr>
  </property>
  <property fmtid="{D5CDD505-2E9C-101B-9397-08002B2CF9AE}" pid="3" name="MediaServiceImageTags">
    <vt:lpwstr/>
  </property>
</Properties>
</file>