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76" w:rsidRPr="00D17844" w:rsidRDefault="001E0758">
      <w:pPr>
        <w:rPr>
          <w:sz w:val="22"/>
          <w:szCs w:val="22"/>
        </w:rPr>
      </w:pPr>
      <w:bookmarkStart w:id="0" w:name="_GoBack"/>
      <w:bookmarkEnd w:id="0"/>
      <w:r w:rsidRPr="00D17844">
        <w:rPr>
          <w:sz w:val="22"/>
          <w:szCs w:val="22"/>
        </w:rPr>
        <w:t>Accessibility Plan</w:t>
      </w:r>
    </w:p>
    <w:p w:rsidR="001E0758" w:rsidRPr="00D17844" w:rsidRDefault="001E0758">
      <w:pPr>
        <w:rPr>
          <w:sz w:val="22"/>
          <w:szCs w:val="22"/>
        </w:rPr>
      </w:pPr>
    </w:p>
    <w:p w:rsidR="001E0758" w:rsidRPr="00D17844" w:rsidRDefault="001E0758">
      <w:pPr>
        <w:rPr>
          <w:sz w:val="22"/>
          <w:szCs w:val="22"/>
        </w:rPr>
      </w:pPr>
      <w:r w:rsidRPr="00D17844">
        <w:rPr>
          <w:sz w:val="22"/>
          <w:szCs w:val="22"/>
        </w:rPr>
        <w:t>The requirement is set out in Schedule 10 of the Equality Act 2010</w:t>
      </w:r>
    </w:p>
    <w:p w:rsidR="001E0758" w:rsidRPr="00D17844" w:rsidRDefault="001E0758">
      <w:pPr>
        <w:rPr>
          <w:sz w:val="22"/>
          <w:szCs w:val="22"/>
        </w:rPr>
      </w:pPr>
    </w:p>
    <w:p w:rsidR="001E0758" w:rsidRPr="00D17844" w:rsidRDefault="001E0758">
      <w:pPr>
        <w:rPr>
          <w:sz w:val="22"/>
          <w:szCs w:val="22"/>
        </w:rPr>
      </w:pPr>
      <w:r w:rsidRPr="00D17844">
        <w:rPr>
          <w:sz w:val="22"/>
          <w:szCs w:val="22"/>
        </w:rPr>
        <w:t xml:space="preserve">It says </w:t>
      </w:r>
    </w:p>
    <w:p w:rsidR="001E0758" w:rsidRPr="00D17844" w:rsidRDefault="001E0758" w:rsidP="001E0758">
      <w:pPr>
        <w:rPr>
          <w:b w:val="0"/>
          <w:sz w:val="22"/>
          <w:szCs w:val="22"/>
          <w:lang w:val="en"/>
        </w:rPr>
      </w:pPr>
      <w:r w:rsidRPr="00D17844">
        <w:rPr>
          <w:b w:val="0"/>
          <w:i/>
          <w:iCs/>
          <w:sz w:val="22"/>
          <w:szCs w:val="22"/>
          <w:lang w:val="en"/>
        </w:rPr>
        <w:t xml:space="preserve">Accessibility plans </w:t>
      </w: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(1)</w:t>
      </w:r>
      <w:r w:rsidRPr="00D17844">
        <w:rPr>
          <w:b w:val="0"/>
          <w:sz w:val="22"/>
          <w:szCs w:val="22"/>
          <w:lang w:val="en"/>
        </w:rPr>
        <w:tab/>
        <w:t>The responsible body of a school in England and Wales must prepare—</w:t>
      </w: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ab/>
        <w:t>(a)</w:t>
      </w:r>
      <w:r w:rsidRPr="00D17844">
        <w:rPr>
          <w:b w:val="0"/>
          <w:sz w:val="22"/>
          <w:szCs w:val="22"/>
          <w:lang w:val="en"/>
        </w:rPr>
        <w:tab/>
        <w:t>an accessibility plan;</w:t>
      </w: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ab/>
        <w:t>(b)</w:t>
      </w:r>
      <w:r w:rsidRPr="00D17844">
        <w:rPr>
          <w:b w:val="0"/>
          <w:sz w:val="22"/>
          <w:szCs w:val="22"/>
          <w:lang w:val="en"/>
        </w:rPr>
        <w:tab/>
        <w:t>further such plans at such times as may be prescribed.</w:t>
      </w:r>
    </w:p>
    <w:p w:rsidR="001E0758" w:rsidRPr="00D17844" w:rsidRDefault="001E0758" w:rsidP="00045F87">
      <w:pPr>
        <w:tabs>
          <w:tab w:val="clear" w:pos="709"/>
          <w:tab w:val="left" w:pos="426"/>
          <w:tab w:val="left" w:pos="851"/>
        </w:tabs>
        <w:rPr>
          <w:b w:val="0"/>
          <w:sz w:val="22"/>
          <w:szCs w:val="22"/>
          <w:lang w:val="en"/>
        </w:rPr>
      </w:pP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(2)</w:t>
      </w:r>
      <w:r w:rsidRPr="00D17844">
        <w:rPr>
          <w:b w:val="0"/>
          <w:sz w:val="22"/>
          <w:szCs w:val="22"/>
          <w:lang w:val="en"/>
        </w:rPr>
        <w:tab/>
        <w:t>An accessibility plan is a plan for, over a prescribed period—</w:t>
      </w:r>
    </w:p>
    <w:p w:rsidR="001E0758" w:rsidRPr="00D17844" w:rsidRDefault="001E0758" w:rsidP="00045F87">
      <w:pPr>
        <w:tabs>
          <w:tab w:val="clear" w:pos="709"/>
          <w:tab w:val="left" w:pos="426"/>
          <w:tab w:val="left" w:pos="851"/>
        </w:tabs>
        <w:ind w:left="851" w:hanging="425"/>
        <w:rPr>
          <w:b w:val="0"/>
          <w:sz w:val="22"/>
          <w:szCs w:val="22"/>
          <w:lang w:val="en"/>
        </w:rPr>
      </w:pPr>
      <w:r w:rsidRPr="00D17844">
        <w:rPr>
          <w:b w:val="0"/>
          <w:sz w:val="22"/>
          <w:szCs w:val="22"/>
          <w:lang w:val="en"/>
        </w:rPr>
        <w:t>(a)</w:t>
      </w:r>
      <w:r w:rsidRPr="00D17844">
        <w:rPr>
          <w:b w:val="0"/>
          <w:sz w:val="22"/>
          <w:szCs w:val="22"/>
          <w:lang w:val="en"/>
        </w:rPr>
        <w:tab/>
        <w:t>increasing the extent to which disabled pupils can participate in the school's curriculum,</w:t>
      </w:r>
    </w:p>
    <w:p w:rsidR="001E0758" w:rsidRPr="00D17844" w:rsidRDefault="001E0758" w:rsidP="00045F87">
      <w:pPr>
        <w:tabs>
          <w:tab w:val="clear" w:pos="709"/>
          <w:tab w:val="left" w:pos="426"/>
          <w:tab w:val="left" w:pos="851"/>
        </w:tabs>
        <w:ind w:left="851" w:hanging="851"/>
        <w:rPr>
          <w:b w:val="0"/>
          <w:sz w:val="22"/>
          <w:szCs w:val="22"/>
          <w:lang w:val="en"/>
        </w:rPr>
      </w:pPr>
      <w:r w:rsidRPr="00D17844">
        <w:rPr>
          <w:b w:val="0"/>
          <w:sz w:val="22"/>
          <w:szCs w:val="22"/>
          <w:lang w:val="en"/>
        </w:rPr>
        <w:tab/>
        <w:t>(b)</w:t>
      </w:r>
      <w:r w:rsidRPr="00D17844">
        <w:rPr>
          <w:b w:val="0"/>
          <w:sz w:val="22"/>
          <w:szCs w:val="22"/>
          <w:lang w:val="en"/>
        </w:rPr>
        <w:tab/>
        <w:t>improving the physical environment of the school for the purpose of increasing the extent to which disabled pupils are able to take advantage of education and benefits, facilities or services provided or offered by the school, and</w:t>
      </w:r>
    </w:p>
    <w:p w:rsidR="001E0758" w:rsidRPr="00D17844" w:rsidRDefault="00045F87" w:rsidP="00045F87">
      <w:pPr>
        <w:tabs>
          <w:tab w:val="clear" w:pos="709"/>
          <w:tab w:val="left" w:pos="426"/>
          <w:tab w:val="left" w:pos="851"/>
        </w:tabs>
        <w:ind w:left="851" w:hanging="1440"/>
        <w:rPr>
          <w:b w:val="0"/>
          <w:sz w:val="22"/>
          <w:szCs w:val="22"/>
          <w:lang w:val="en"/>
        </w:rPr>
      </w:pPr>
      <w:r w:rsidRPr="00D17844">
        <w:rPr>
          <w:b w:val="0"/>
          <w:sz w:val="22"/>
          <w:szCs w:val="22"/>
          <w:lang w:val="en"/>
        </w:rPr>
        <w:tab/>
      </w:r>
      <w:r w:rsidR="001E0758" w:rsidRPr="00D17844">
        <w:rPr>
          <w:b w:val="0"/>
          <w:sz w:val="22"/>
          <w:szCs w:val="22"/>
          <w:lang w:val="en"/>
        </w:rPr>
        <w:t>(c)</w:t>
      </w:r>
      <w:r w:rsidRPr="00D17844">
        <w:rPr>
          <w:b w:val="0"/>
          <w:sz w:val="22"/>
          <w:szCs w:val="22"/>
          <w:lang w:val="en"/>
        </w:rPr>
        <w:tab/>
      </w:r>
      <w:r w:rsidR="001E0758" w:rsidRPr="00D17844">
        <w:rPr>
          <w:b w:val="0"/>
          <w:sz w:val="22"/>
          <w:szCs w:val="22"/>
          <w:lang w:val="en"/>
        </w:rPr>
        <w:t>improving the delivery to disabled pupils of information which is readily accessible to pupils who are not disabled.</w:t>
      </w:r>
    </w:p>
    <w:p w:rsidR="001E0758" w:rsidRPr="00D17844" w:rsidRDefault="001E0758" w:rsidP="00045F87">
      <w:pPr>
        <w:tabs>
          <w:tab w:val="clear" w:pos="709"/>
          <w:tab w:val="left" w:pos="426"/>
          <w:tab w:val="left" w:pos="851"/>
        </w:tabs>
        <w:rPr>
          <w:b w:val="0"/>
          <w:sz w:val="22"/>
          <w:szCs w:val="22"/>
          <w:lang w:val="en"/>
        </w:rPr>
      </w:pP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(3)</w:t>
      </w:r>
      <w:r w:rsidR="00045F87" w:rsidRPr="00D17844">
        <w:rPr>
          <w:b w:val="0"/>
          <w:sz w:val="22"/>
          <w:szCs w:val="22"/>
          <w:lang w:val="en"/>
        </w:rPr>
        <w:tab/>
      </w:r>
      <w:r w:rsidRPr="00D17844">
        <w:rPr>
          <w:b w:val="0"/>
          <w:sz w:val="22"/>
          <w:szCs w:val="22"/>
          <w:lang w:val="en"/>
        </w:rPr>
        <w:t>The delivery in sub-paragraph (2)(c) must be—</w:t>
      </w:r>
    </w:p>
    <w:p w:rsidR="001E0758" w:rsidRPr="00D17844" w:rsidRDefault="00045F87" w:rsidP="00045F87">
      <w:pPr>
        <w:tabs>
          <w:tab w:val="clear" w:pos="709"/>
          <w:tab w:val="left" w:pos="426"/>
          <w:tab w:val="left" w:pos="851"/>
        </w:tabs>
        <w:rPr>
          <w:b w:val="0"/>
          <w:sz w:val="22"/>
          <w:szCs w:val="22"/>
          <w:lang w:val="en"/>
        </w:rPr>
      </w:pPr>
      <w:r w:rsidRPr="00D17844">
        <w:rPr>
          <w:b w:val="0"/>
          <w:sz w:val="22"/>
          <w:szCs w:val="22"/>
          <w:lang w:val="en"/>
        </w:rPr>
        <w:tab/>
      </w:r>
      <w:r w:rsidR="001E0758" w:rsidRPr="00D17844">
        <w:rPr>
          <w:b w:val="0"/>
          <w:sz w:val="22"/>
          <w:szCs w:val="22"/>
          <w:lang w:val="en"/>
        </w:rPr>
        <w:t>(a)</w:t>
      </w:r>
      <w:r w:rsidRPr="00D17844">
        <w:rPr>
          <w:b w:val="0"/>
          <w:sz w:val="22"/>
          <w:szCs w:val="22"/>
          <w:lang w:val="en"/>
        </w:rPr>
        <w:tab/>
      </w:r>
      <w:r w:rsidR="001E0758" w:rsidRPr="00D17844">
        <w:rPr>
          <w:b w:val="0"/>
          <w:sz w:val="22"/>
          <w:szCs w:val="22"/>
          <w:lang w:val="en"/>
        </w:rPr>
        <w:t>within a reasonable time;</w:t>
      </w:r>
    </w:p>
    <w:p w:rsidR="001E0758" w:rsidRPr="00D17844" w:rsidRDefault="00045F87" w:rsidP="00045F87">
      <w:pPr>
        <w:tabs>
          <w:tab w:val="clear" w:pos="709"/>
          <w:tab w:val="left" w:pos="426"/>
          <w:tab w:val="left" w:pos="851"/>
        </w:tabs>
        <w:ind w:left="1440" w:hanging="1440"/>
        <w:rPr>
          <w:b w:val="0"/>
          <w:sz w:val="22"/>
          <w:szCs w:val="22"/>
          <w:lang w:val="en"/>
        </w:rPr>
      </w:pPr>
      <w:r w:rsidRPr="00D17844">
        <w:rPr>
          <w:b w:val="0"/>
          <w:sz w:val="22"/>
          <w:szCs w:val="22"/>
          <w:lang w:val="en"/>
        </w:rPr>
        <w:tab/>
      </w:r>
      <w:r w:rsidR="001E0758" w:rsidRPr="00D17844">
        <w:rPr>
          <w:b w:val="0"/>
          <w:sz w:val="22"/>
          <w:szCs w:val="22"/>
          <w:lang w:val="en"/>
        </w:rPr>
        <w:t>(b)</w:t>
      </w:r>
      <w:r w:rsidRPr="00D17844">
        <w:rPr>
          <w:b w:val="0"/>
          <w:sz w:val="22"/>
          <w:szCs w:val="22"/>
          <w:lang w:val="en"/>
        </w:rPr>
        <w:tab/>
      </w:r>
      <w:r w:rsidR="001E0758" w:rsidRPr="00D17844">
        <w:rPr>
          <w:b w:val="0"/>
          <w:sz w:val="22"/>
          <w:szCs w:val="22"/>
          <w:lang w:val="en"/>
        </w:rPr>
        <w:t>in ways which are determined after taking account of the pupils' disabilities and any preferences expressed by them or their parents.</w:t>
      </w:r>
    </w:p>
    <w:p w:rsidR="00045F87" w:rsidRPr="00D17844" w:rsidRDefault="00045F87" w:rsidP="00045F87">
      <w:pPr>
        <w:tabs>
          <w:tab w:val="clear" w:pos="709"/>
          <w:tab w:val="left" w:pos="426"/>
          <w:tab w:val="left" w:pos="851"/>
        </w:tabs>
        <w:ind w:left="1440" w:hanging="1440"/>
        <w:rPr>
          <w:b w:val="0"/>
          <w:sz w:val="22"/>
          <w:szCs w:val="22"/>
          <w:lang w:val="en"/>
        </w:rPr>
      </w:pPr>
    </w:p>
    <w:p w:rsidR="001E0758" w:rsidRPr="00D17844" w:rsidRDefault="001E0758" w:rsidP="00045F87">
      <w:pPr>
        <w:tabs>
          <w:tab w:val="clear" w:pos="709"/>
          <w:tab w:val="left" w:pos="426"/>
          <w:tab w:val="left" w:pos="851"/>
        </w:tabs>
        <w:rPr>
          <w:b w:val="0"/>
          <w:sz w:val="22"/>
          <w:szCs w:val="22"/>
          <w:lang w:val="en"/>
        </w:rPr>
      </w:pPr>
      <w:r w:rsidRPr="00D17844">
        <w:rPr>
          <w:b w:val="0"/>
          <w:sz w:val="22"/>
          <w:szCs w:val="22"/>
          <w:lang w:val="en"/>
        </w:rPr>
        <w:t>(4)</w:t>
      </w:r>
      <w:r w:rsidR="00045F87" w:rsidRPr="00D17844">
        <w:rPr>
          <w:b w:val="0"/>
          <w:sz w:val="22"/>
          <w:szCs w:val="22"/>
          <w:lang w:val="en"/>
        </w:rPr>
        <w:tab/>
      </w:r>
      <w:r w:rsidRPr="00D17844">
        <w:rPr>
          <w:b w:val="0"/>
          <w:sz w:val="22"/>
          <w:szCs w:val="22"/>
          <w:lang w:val="en"/>
        </w:rPr>
        <w:t>An accessibility plan must be in writing.</w:t>
      </w:r>
    </w:p>
    <w:p w:rsidR="00045F87" w:rsidRPr="00D17844" w:rsidRDefault="00045F87" w:rsidP="00045F87">
      <w:pPr>
        <w:tabs>
          <w:tab w:val="clear" w:pos="709"/>
          <w:tab w:val="left" w:pos="426"/>
          <w:tab w:val="left" w:pos="851"/>
        </w:tabs>
        <w:rPr>
          <w:b w:val="0"/>
          <w:sz w:val="22"/>
          <w:szCs w:val="22"/>
          <w:lang w:val="en"/>
        </w:rPr>
      </w:pPr>
    </w:p>
    <w:p w:rsidR="001E0758" w:rsidRPr="00D17844" w:rsidRDefault="001E0758" w:rsidP="00045F87">
      <w:pPr>
        <w:tabs>
          <w:tab w:val="clear" w:pos="709"/>
          <w:tab w:val="left" w:pos="426"/>
          <w:tab w:val="left" w:pos="851"/>
        </w:tabs>
        <w:ind w:left="426" w:hanging="426"/>
        <w:rPr>
          <w:b w:val="0"/>
          <w:sz w:val="22"/>
          <w:szCs w:val="22"/>
          <w:lang w:val="en"/>
        </w:rPr>
      </w:pPr>
      <w:r w:rsidRPr="00D17844">
        <w:rPr>
          <w:b w:val="0"/>
          <w:sz w:val="22"/>
          <w:szCs w:val="22"/>
          <w:lang w:val="en"/>
        </w:rPr>
        <w:t>(5)</w:t>
      </w:r>
      <w:r w:rsidR="00045F87" w:rsidRPr="00D17844">
        <w:rPr>
          <w:b w:val="0"/>
          <w:sz w:val="22"/>
          <w:szCs w:val="22"/>
          <w:lang w:val="en"/>
        </w:rPr>
        <w:tab/>
      </w:r>
      <w:r w:rsidRPr="00D17844">
        <w:rPr>
          <w:b w:val="0"/>
          <w:sz w:val="22"/>
          <w:szCs w:val="22"/>
          <w:lang w:val="en"/>
        </w:rPr>
        <w:t>The responsible body must keep its accessibility plan under review during the period to which it relates and, if necessary, revise it.</w:t>
      </w:r>
    </w:p>
    <w:p w:rsidR="00045F87" w:rsidRPr="00D17844" w:rsidRDefault="00045F87" w:rsidP="00045F87">
      <w:pPr>
        <w:tabs>
          <w:tab w:val="clear" w:pos="709"/>
          <w:tab w:val="left" w:pos="426"/>
          <w:tab w:val="left" w:pos="851"/>
        </w:tabs>
        <w:ind w:left="705" w:hanging="705"/>
        <w:rPr>
          <w:b w:val="0"/>
          <w:sz w:val="22"/>
          <w:szCs w:val="22"/>
          <w:lang w:val="en"/>
        </w:rPr>
      </w:pPr>
    </w:p>
    <w:p w:rsidR="001E0758" w:rsidRPr="00D17844" w:rsidRDefault="001E0758" w:rsidP="001E0758">
      <w:pPr>
        <w:rPr>
          <w:b w:val="0"/>
          <w:sz w:val="22"/>
          <w:szCs w:val="22"/>
          <w:lang w:val="en"/>
        </w:rPr>
      </w:pPr>
      <w:r w:rsidRPr="00D17844">
        <w:rPr>
          <w:b w:val="0"/>
          <w:sz w:val="22"/>
          <w:szCs w:val="22"/>
          <w:lang w:val="en"/>
        </w:rPr>
        <w:t>(6)</w:t>
      </w:r>
      <w:r w:rsidR="00045F87" w:rsidRPr="00D17844">
        <w:rPr>
          <w:b w:val="0"/>
          <w:sz w:val="22"/>
          <w:szCs w:val="22"/>
          <w:lang w:val="en"/>
        </w:rPr>
        <w:tab/>
      </w:r>
      <w:r w:rsidRPr="00D17844">
        <w:rPr>
          <w:b w:val="0"/>
          <w:sz w:val="22"/>
          <w:szCs w:val="22"/>
          <w:lang w:val="en"/>
        </w:rPr>
        <w:t>The responsible body must implement its accessibility plan.</w:t>
      </w:r>
    </w:p>
    <w:p w:rsidR="00045F87" w:rsidRPr="00D17844" w:rsidRDefault="00045F87" w:rsidP="001E0758">
      <w:pPr>
        <w:rPr>
          <w:b w:val="0"/>
          <w:sz w:val="22"/>
          <w:szCs w:val="22"/>
          <w:lang w:val="en"/>
        </w:rPr>
      </w:pPr>
    </w:p>
    <w:p w:rsidR="00D17844" w:rsidRPr="00D17844" w:rsidRDefault="00D17844" w:rsidP="00045F87">
      <w:pPr>
        <w:autoSpaceDE w:val="0"/>
        <w:autoSpaceDN w:val="0"/>
        <w:adjustRightInd w:val="0"/>
        <w:rPr>
          <w:b w:val="0"/>
          <w:color w:val="000000"/>
          <w:sz w:val="22"/>
          <w:szCs w:val="22"/>
        </w:rPr>
      </w:pPr>
      <w:r w:rsidRPr="00D17844">
        <w:rPr>
          <w:b w:val="0"/>
          <w:color w:val="000000"/>
          <w:sz w:val="22"/>
          <w:szCs w:val="22"/>
        </w:rPr>
        <w:t xml:space="preserve">Guidance </w:t>
      </w:r>
      <w:hyperlink r:id="rId5" w:history="1">
        <w:r w:rsidRPr="00D17844">
          <w:rPr>
            <w:rStyle w:val="Hyperlink"/>
            <w:b w:val="0"/>
            <w:sz w:val="22"/>
            <w:szCs w:val="22"/>
          </w:rPr>
          <w:t>https://www.gov.uk/government/uploads/system/uploads/attachment_data/file/315587/Equality_Act_Advice_Final.pdf</w:t>
        </w:r>
      </w:hyperlink>
      <w:r w:rsidRPr="00D17844">
        <w:rPr>
          <w:b w:val="0"/>
          <w:color w:val="000000"/>
          <w:sz w:val="22"/>
          <w:szCs w:val="22"/>
        </w:rPr>
        <w:t xml:space="preserve"> </w:t>
      </w:r>
    </w:p>
    <w:p w:rsidR="00D17844" w:rsidRDefault="00AD2874" w:rsidP="00045F87">
      <w:pPr>
        <w:autoSpaceDE w:val="0"/>
        <w:autoSpaceDN w:val="0"/>
        <w:adjustRightInd w:val="0"/>
        <w:rPr>
          <w:b w:val="0"/>
          <w:color w:val="000000"/>
        </w:rPr>
      </w:pPr>
      <w:hyperlink r:id="rId6" w:history="1">
        <w:r w:rsidR="00D17844" w:rsidRPr="00D17844">
          <w:rPr>
            <w:rStyle w:val="Hyperlink"/>
            <w:b w:val="0"/>
            <w:sz w:val="22"/>
            <w:szCs w:val="22"/>
          </w:rPr>
          <w:t>https://councilfordisabledchildren.org.uk/sites/default/files/field/attachemnt/equality-act-schools_online.pdf</w:t>
        </w:r>
      </w:hyperlink>
      <w:r w:rsidR="00D17844">
        <w:rPr>
          <w:b w:val="0"/>
          <w:color w:val="000000"/>
        </w:rPr>
        <w:t xml:space="preserve"> </w:t>
      </w:r>
    </w:p>
    <w:p w:rsidR="006D31BC" w:rsidRDefault="006D31BC" w:rsidP="00045F87">
      <w:pPr>
        <w:autoSpaceDE w:val="0"/>
        <w:autoSpaceDN w:val="0"/>
        <w:adjustRightInd w:val="0"/>
        <w:rPr>
          <w:b w:val="0"/>
          <w:color w:val="000000"/>
        </w:rPr>
      </w:pPr>
    </w:p>
    <w:p w:rsidR="006D31BC" w:rsidRDefault="006D31BC" w:rsidP="00045F87">
      <w:pPr>
        <w:autoSpaceDE w:val="0"/>
        <w:autoSpaceDN w:val="0"/>
        <w:adjustRightInd w:val="0"/>
        <w:rPr>
          <w:b w:val="0"/>
          <w:color w:val="000000"/>
        </w:rPr>
      </w:pPr>
    </w:p>
    <w:p w:rsidR="006D31BC" w:rsidRPr="00045F87" w:rsidRDefault="006D31BC" w:rsidP="00045F87">
      <w:pPr>
        <w:autoSpaceDE w:val="0"/>
        <w:autoSpaceDN w:val="0"/>
        <w:adjustRightInd w:val="0"/>
        <w:rPr>
          <w:b w:val="0"/>
          <w:color w:val="000000"/>
        </w:rPr>
      </w:pPr>
    </w:p>
    <w:sectPr w:rsidR="006D31BC" w:rsidRPr="00045F87" w:rsidSect="001B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58"/>
    <w:rsid w:val="00045F87"/>
    <w:rsid w:val="000A2685"/>
    <w:rsid w:val="001B2C0D"/>
    <w:rsid w:val="001E0758"/>
    <w:rsid w:val="002536E8"/>
    <w:rsid w:val="002675D7"/>
    <w:rsid w:val="0030511E"/>
    <w:rsid w:val="004B1F10"/>
    <w:rsid w:val="00586065"/>
    <w:rsid w:val="006D31BC"/>
    <w:rsid w:val="007E4C56"/>
    <w:rsid w:val="009C5923"/>
    <w:rsid w:val="00AD2874"/>
    <w:rsid w:val="00C2538B"/>
    <w:rsid w:val="00D17844"/>
    <w:rsid w:val="00D4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65"/>
    <w:pPr>
      <w:tabs>
        <w:tab w:val="left" w:pos="709"/>
      </w:tabs>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F87"/>
    <w:pPr>
      <w:autoSpaceDE w:val="0"/>
      <w:autoSpaceDN w:val="0"/>
      <w:adjustRightInd w:val="0"/>
      <w:spacing w:after="0" w:line="240" w:lineRule="auto"/>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D17844"/>
    <w:rPr>
      <w:color w:val="0000FF" w:themeColor="hyperlink"/>
      <w:u w:val="single"/>
    </w:rPr>
  </w:style>
  <w:style w:type="character" w:styleId="FollowedHyperlink">
    <w:name w:val="FollowedHyperlink"/>
    <w:basedOn w:val="DefaultParagraphFont"/>
    <w:uiPriority w:val="99"/>
    <w:semiHidden/>
    <w:unhideWhenUsed/>
    <w:rsid w:val="001B2C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065"/>
    <w:pPr>
      <w:tabs>
        <w:tab w:val="left" w:pos="709"/>
      </w:tabs>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F87"/>
    <w:pPr>
      <w:autoSpaceDE w:val="0"/>
      <w:autoSpaceDN w:val="0"/>
      <w:adjustRightInd w:val="0"/>
      <w:spacing w:after="0" w:line="240" w:lineRule="auto"/>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D17844"/>
    <w:rPr>
      <w:color w:val="0000FF" w:themeColor="hyperlink"/>
      <w:u w:val="single"/>
    </w:rPr>
  </w:style>
  <w:style w:type="character" w:styleId="FollowedHyperlink">
    <w:name w:val="FollowedHyperlink"/>
    <w:basedOn w:val="DefaultParagraphFont"/>
    <w:uiPriority w:val="99"/>
    <w:semiHidden/>
    <w:unhideWhenUsed/>
    <w:rsid w:val="001B2C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427016">
      <w:bodyDiv w:val="1"/>
      <w:marLeft w:val="0"/>
      <w:marRight w:val="0"/>
      <w:marTop w:val="0"/>
      <w:marBottom w:val="0"/>
      <w:divBdr>
        <w:top w:val="none" w:sz="0" w:space="0" w:color="auto"/>
        <w:left w:val="none" w:sz="0" w:space="0" w:color="auto"/>
        <w:bottom w:val="none" w:sz="0" w:space="0" w:color="auto"/>
        <w:right w:val="none" w:sz="0" w:space="0" w:color="auto"/>
      </w:divBdr>
    </w:div>
    <w:div w:id="1617784862">
      <w:bodyDiv w:val="1"/>
      <w:marLeft w:val="0"/>
      <w:marRight w:val="0"/>
      <w:marTop w:val="0"/>
      <w:marBottom w:val="0"/>
      <w:divBdr>
        <w:top w:val="none" w:sz="0" w:space="0" w:color="auto"/>
        <w:left w:val="none" w:sz="0" w:space="0" w:color="auto"/>
        <w:bottom w:val="none" w:sz="0" w:space="0" w:color="auto"/>
        <w:right w:val="none" w:sz="0" w:space="0" w:color="auto"/>
      </w:divBdr>
      <w:divsChild>
        <w:div w:id="977758051">
          <w:marLeft w:val="0"/>
          <w:marRight w:val="0"/>
          <w:marTop w:val="0"/>
          <w:marBottom w:val="0"/>
          <w:divBdr>
            <w:top w:val="none" w:sz="0" w:space="0" w:color="auto"/>
            <w:left w:val="none" w:sz="0" w:space="0" w:color="auto"/>
            <w:bottom w:val="none" w:sz="0" w:space="0" w:color="auto"/>
            <w:right w:val="none" w:sz="0" w:space="0" w:color="auto"/>
          </w:divBdr>
          <w:divsChild>
            <w:div w:id="1277447331">
              <w:marLeft w:val="0"/>
              <w:marRight w:val="0"/>
              <w:marTop w:val="0"/>
              <w:marBottom w:val="0"/>
              <w:divBdr>
                <w:top w:val="single" w:sz="2" w:space="0" w:color="FFFFFF"/>
                <w:left w:val="single" w:sz="6" w:space="0" w:color="FFFFFF"/>
                <w:bottom w:val="single" w:sz="6" w:space="0" w:color="FFFFFF"/>
                <w:right w:val="single" w:sz="6" w:space="0" w:color="FFFFFF"/>
              </w:divBdr>
              <w:divsChild>
                <w:div w:id="230891194">
                  <w:marLeft w:val="0"/>
                  <w:marRight w:val="0"/>
                  <w:marTop w:val="0"/>
                  <w:marBottom w:val="0"/>
                  <w:divBdr>
                    <w:top w:val="single" w:sz="6" w:space="1" w:color="D3D3D3"/>
                    <w:left w:val="none" w:sz="0" w:space="0" w:color="auto"/>
                    <w:bottom w:val="none" w:sz="0" w:space="0" w:color="auto"/>
                    <w:right w:val="none" w:sz="0" w:space="0" w:color="auto"/>
                  </w:divBdr>
                  <w:divsChild>
                    <w:div w:id="3768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4699">
      <w:bodyDiv w:val="1"/>
      <w:marLeft w:val="0"/>
      <w:marRight w:val="0"/>
      <w:marTop w:val="0"/>
      <w:marBottom w:val="0"/>
      <w:divBdr>
        <w:top w:val="none" w:sz="0" w:space="0" w:color="auto"/>
        <w:left w:val="none" w:sz="0" w:space="0" w:color="auto"/>
        <w:bottom w:val="none" w:sz="0" w:space="0" w:color="auto"/>
        <w:right w:val="none" w:sz="0" w:space="0" w:color="auto"/>
      </w:divBdr>
      <w:divsChild>
        <w:div w:id="1279725435">
          <w:marLeft w:val="0"/>
          <w:marRight w:val="0"/>
          <w:marTop w:val="0"/>
          <w:marBottom w:val="0"/>
          <w:divBdr>
            <w:top w:val="none" w:sz="0" w:space="0" w:color="auto"/>
            <w:left w:val="none" w:sz="0" w:space="0" w:color="auto"/>
            <w:bottom w:val="none" w:sz="0" w:space="0" w:color="auto"/>
            <w:right w:val="none" w:sz="0" w:space="0" w:color="auto"/>
          </w:divBdr>
          <w:divsChild>
            <w:div w:id="1619023063">
              <w:marLeft w:val="0"/>
              <w:marRight w:val="0"/>
              <w:marTop w:val="0"/>
              <w:marBottom w:val="0"/>
              <w:divBdr>
                <w:top w:val="single" w:sz="2" w:space="0" w:color="FFFFFF"/>
                <w:left w:val="single" w:sz="6" w:space="0" w:color="FFFFFF"/>
                <w:bottom w:val="single" w:sz="6" w:space="0" w:color="FFFFFF"/>
                <w:right w:val="single" w:sz="6" w:space="0" w:color="FFFFFF"/>
              </w:divBdr>
              <w:divsChild>
                <w:div w:id="1428191243">
                  <w:marLeft w:val="0"/>
                  <w:marRight w:val="0"/>
                  <w:marTop w:val="0"/>
                  <w:marBottom w:val="0"/>
                  <w:divBdr>
                    <w:top w:val="single" w:sz="6" w:space="1" w:color="D3D3D3"/>
                    <w:left w:val="none" w:sz="0" w:space="0" w:color="auto"/>
                    <w:bottom w:val="none" w:sz="0" w:space="0" w:color="auto"/>
                    <w:right w:val="none" w:sz="0" w:space="0" w:color="auto"/>
                  </w:divBdr>
                  <w:divsChild>
                    <w:div w:id="10360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uncilfordisabledchildren.org.uk/sites/default/files/field/attachemnt/equality-act-schools_online.pdf" TargetMode="External"/><Relationship Id="rId5" Type="http://schemas.openxmlformats.org/officeDocument/2006/relationships/hyperlink" Target="https://www.gov.uk/government/uploads/system/uploads/attachment_data/file/315587/Equality_Act_Advice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Maureen</dc:creator>
  <cp:lastModifiedBy>Finch, John</cp:lastModifiedBy>
  <cp:revision>2</cp:revision>
  <cp:lastPrinted>2017-03-07T16:26:00Z</cp:lastPrinted>
  <dcterms:created xsi:type="dcterms:W3CDTF">2017-07-21T11:19:00Z</dcterms:created>
  <dcterms:modified xsi:type="dcterms:W3CDTF">2017-07-21T11:19:00Z</dcterms:modified>
</cp:coreProperties>
</file>